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340" w:rsidRPr="001C3008" w:rsidRDefault="00625340" w:rsidP="00625340">
      <w:pPr>
        <w:spacing w:after="0" w:line="360" w:lineRule="auto"/>
        <w:jc w:val="both"/>
        <w:rPr>
          <w:rFonts w:ascii="Palatino Linotype" w:hAnsi="Palatino Linotype" w:cs="Arial"/>
          <w:b/>
          <w:sz w:val="24"/>
          <w:szCs w:val="24"/>
        </w:rPr>
      </w:pPr>
    </w:p>
    <w:p w:rsidR="00625340" w:rsidRDefault="00C02AF0" w:rsidP="00625340">
      <w:pPr>
        <w:spacing w:after="0" w:line="360" w:lineRule="auto"/>
        <w:jc w:val="both"/>
        <w:rPr>
          <w:rFonts w:ascii="Palatino Linotype" w:hAnsi="Palatino Linotype" w:cs="Arial"/>
          <w:b/>
          <w:sz w:val="24"/>
          <w:szCs w:val="24"/>
        </w:rPr>
      </w:pPr>
      <w:r>
        <w:rPr>
          <w:rFonts w:ascii="Palatino Linotype" w:hAnsi="Palatino Linotype" w:cs="Arial"/>
          <w:b/>
          <w:sz w:val="24"/>
          <w:szCs w:val="24"/>
        </w:rPr>
        <w:t>VOTO</w:t>
      </w:r>
      <w:r w:rsidR="00625340" w:rsidRPr="001C3008">
        <w:rPr>
          <w:rFonts w:ascii="Palatino Linotype" w:hAnsi="Palatino Linotype" w:cs="Arial"/>
          <w:b/>
          <w:sz w:val="24"/>
          <w:szCs w:val="24"/>
        </w:rPr>
        <w:t xml:space="preserve"> PARTICULAR DEL COMISIONADO JOSÉ GUADALUP</w:t>
      </w:r>
      <w:r w:rsidR="00625340">
        <w:rPr>
          <w:rFonts w:ascii="Palatino Linotype" w:hAnsi="Palatino Linotype" w:cs="Arial"/>
          <w:b/>
          <w:sz w:val="24"/>
          <w:szCs w:val="24"/>
        </w:rPr>
        <w:t>E LUNA HERNÁNDEZ EN EL RECURSO</w:t>
      </w:r>
      <w:r w:rsidR="00625340" w:rsidRPr="001C3008">
        <w:rPr>
          <w:rFonts w:ascii="Palatino Linotype" w:hAnsi="Palatino Linotype" w:cs="Arial"/>
          <w:b/>
          <w:sz w:val="24"/>
          <w:szCs w:val="24"/>
        </w:rPr>
        <w:t xml:space="preserve"> DE REVISIÓN </w:t>
      </w:r>
      <w:r w:rsidR="00465D03">
        <w:rPr>
          <w:rFonts w:ascii="Palatino Linotype" w:hAnsi="Palatino Linotype" w:cs="Arial"/>
          <w:b/>
          <w:sz w:val="24"/>
          <w:szCs w:val="24"/>
        </w:rPr>
        <w:t>0</w:t>
      </w:r>
      <w:r w:rsidR="00165703">
        <w:rPr>
          <w:rFonts w:ascii="Palatino Linotype" w:hAnsi="Palatino Linotype" w:cs="Arial"/>
          <w:b/>
          <w:sz w:val="24"/>
          <w:szCs w:val="24"/>
        </w:rPr>
        <w:t>4257</w:t>
      </w:r>
      <w:r w:rsidR="00625340" w:rsidRPr="002E02EC">
        <w:rPr>
          <w:rFonts w:ascii="Palatino Linotype" w:hAnsi="Palatino Linotype" w:cs="Arial"/>
          <w:b/>
          <w:sz w:val="24"/>
          <w:szCs w:val="24"/>
        </w:rPr>
        <w:t>/INFOEM/IP/RR/201</w:t>
      </w:r>
      <w:r w:rsidR="00165703">
        <w:rPr>
          <w:rFonts w:ascii="Palatino Linotype" w:hAnsi="Palatino Linotype" w:cs="Arial"/>
          <w:b/>
          <w:sz w:val="24"/>
          <w:szCs w:val="24"/>
        </w:rPr>
        <w:t>8</w:t>
      </w:r>
      <w:r w:rsidR="00625340">
        <w:rPr>
          <w:rFonts w:ascii="Palatino Linotype" w:hAnsi="Palatino Linotype" w:cs="Arial"/>
          <w:b/>
          <w:sz w:val="24"/>
          <w:szCs w:val="24"/>
        </w:rPr>
        <w:t>.</w:t>
      </w:r>
    </w:p>
    <w:p w:rsidR="00625340" w:rsidRPr="006773C0" w:rsidRDefault="00625340" w:rsidP="00625340">
      <w:pPr>
        <w:spacing w:after="0" w:line="360" w:lineRule="auto"/>
        <w:jc w:val="both"/>
        <w:rPr>
          <w:rFonts w:ascii="Palatino Linotype" w:hAnsi="Palatino Linotype" w:cs="Arial"/>
          <w:b/>
          <w:sz w:val="24"/>
          <w:szCs w:val="24"/>
        </w:rPr>
      </w:pPr>
    </w:p>
    <w:p w:rsidR="006773C0" w:rsidRPr="006773C0" w:rsidRDefault="00625340" w:rsidP="00625340">
      <w:pPr>
        <w:spacing w:after="0" w:line="360" w:lineRule="auto"/>
        <w:jc w:val="both"/>
        <w:rPr>
          <w:rFonts w:ascii="Palatino Linotype" w:hAnsi="Palatino Linotype" w:cs="Arial"/>
          <w:b/>
          <w:sz w:val="24"/>
          <w:szCs w:val="24"/>
        </w:rPr>
      </w:pPr>
      <w:r w:rsidRPr="006773C0">
        <w:rPr>
          <w:rFonts w:ascii="Palatino Linotype" w:hAnsi="Palatino Linotype" w:cs="Arial"/>
          <w:b/>
          <w:sz w:val="24"/>
          <w:szCs w:val="24"/>
        </w:rPr>
        <w:t>Líneas argumentativas:</w:t>
      </w:r>
    </w:p>
    <w:p w:rsidR="00E45A4F" w:rsidRDefault="00E45A4F" w:rsidP="00E45A4F">
      <w:pPr>
        <w:pStyle w:val="Prrafodelista"/>
        <w:spacing w:after="0" w:line="360" w:lineRule="auto"/>
        <w:ind w:left="0"/>
        <w:jc w:val="both"/>
        <w:rPr>
          <w:rFonts w:ascii="Palatino Linotype" w:hAnsi="Palatino Linotype" w:cs="Arial"/>
          <w:sz w:val="24"/>
          <w:szCs w:val="24"/>
        </w:rPr>
      </w:pPr>
    </w:p>
    <w:p w:rsidR="0056327C" w:rsidRDefault="0056327C" w:rsidP="00E45A4F">
      <w:pPr>
        <w:pStyle w:val="Prrafodelista"/>
        <w:spacing w:after="0" w:line="360" w:lineRule="auto"/>
        <w:ind w:left="0"/>
        <w:jc w:val="both"/>
        <w:rPr>
          <w:rFonts w:ascii="Palatino Linotype" w:hAnsi="Palatino Linotype" w:cs="Arial"/>
          <w:sz w:val="24"/>
          <w:szCs w:val="24"/>
        </w:rPr>
      </w:pPr>
      <w:r w:rsidRPr="0056327C">
        <w:rPr>
          <w:rFonts w:ascii="Palatino Linotype" w:hAnsi="Palatino Linotype" w:cs="Arial"/>
          <w:sz w:val="24"/>
          <w:szCs w:val="24"/>
        </w:rPr>
        <w:t>Con el objeto de que el procedimiento en materia de acceso a la información sea sustanciado de manera sen</w:t>
      </w:r>
      <w:r w:rsidR="003C7564">
        <w:rPr>
          <w:rFonts w:ascii="Palatino Linotype" w:hAnsi="Palatino Linotype" w:cs="Arial"/>
          <w:sz w:val="24"/>
          <w:szCs w:val="24"/>
        </w:rPr>
        <w:t>cilla y expedita propiciando la</w:t>
      </w:r>
      <w:r w:rsidRPr="0056327C">
        <w:rPr>
          <w:rFonts w:ascii="Palatino Linotype" w:hAnsi="Palatino Linotype" w:cs="Arial"/>
          <w:sz w:val="24"/>
          <w:szCs w:val="24"/>
        </w:rPr>
        <w:t>s condiciones para el acceso, entrega y publicación de información</w:t>
      </w:r>
      <w:r w:rsidR="00EE064C">
        <w:rPr>
          <w:rFonts w:ascii="Palatino Linotype" w:hAnsi="Palatino Linotype" w:cs="Arial"/>
          <w:sz w:val="24"/>
          <w:szCs w:val="24"/>
        </w:rPr>
        <w:t>,</w:t>
      </w:r>
      <w:r w:rsidRPr="0056327C">
        <w:rPr>
          <w:rFonts w:ascii="Palatino Linotype" w:hAnsi="Palatino Linotype" w:cs="Arial"/>
          <w:sz w:val="24"/>
          <w:szCs w:val="24"/>
        </w:rPr>
        <w:t xml:space="preserve"> la Ley de Transparencia y Acceso a la Información Pública de</w:t>
      </w:r>
      <w:r w:rsidR="00EE064C">
        <w:rPr>
          <w:rFonts w:ascii="Palatino Linotype" w:hAnsi="Palatino Linotype" w:cs="Arial"/>
          <w:sz w:val="24"/>
          <w:szCs w:val="24"/>
        </w:rPr>
        <w:t>l Estado de Méx</w:t>
      </w:r>
      <w:bookmarkStart w:id="0" w:name="_GoBack"/>
      <w:r w:rsidR="00EE064C">
        <w:rPr>
          <w:rFonts w:ascii="Palatino Linotype" w:hAnsi="Palatino Linotype" w:cs="Arial"/>
          <w:sz w:val="24"/>
          <w:szCs w:val="24"/>
        </w:rPr>
        <w:t>i</w:t>
      </w:r>
      <w:bookmarkEnd w:id="0"/>
      <w:r w:rsidR="00EE064C">
        <w:rPr>
          <w:rFonts w:ascii="Palatino Linotype" w:hAnsi="Palatino Linotype" w:cs="Arial"/>
          <w:sz w:val="24"/>
          <w:szCs w:val="24"/>
        </w:rPr>
        <w:t>co y Municipios</w:t>
      </w:r>
      <w:r w:rsidRPr="0056327C">
        <w:rPr>
          <w:rFonts w:ascii="Palatino Linotype" w:hAnsi="Palatino Linotype" w:cs="Arial"/>
          <w:sz w:val="24"/>
          <w:szCs w:val="24"/>
        </w:rPr>
        <w:t xml:space="preserve"> establece principios, bases generales y procedimientos para tutelar y garantizar el derecho humano de acceso a la información pública que</w:t>
      </w:r>
      <w:r>
        <w:rPr>
          <w:rFonts w:ascii="Palatino Linotype" w:hAnsi="Palatino Linotype" w:cs="Arial"/>
          <w:sz w:val="24"/>
          <w:szCs w:val="24"/>
        </w:rPr>
        <w:t xml:space="preserve"> los Sujetos Obligados generan, administran o poseen. </w:t>
      </w:r>
    </w:p>
    <w:p w:rsidR="00DC35D1" w:rsidRDefault="00DC35D1" w:rsidP="00DC35D1">
      <w:pPr>
        <w:pStyle w:val="Prrafodelista"/>
        <w:spacing w:after="0" w:line="360" w:lineRule="auto"/>
        <w:ind w:left="0"/>
        <w:jc w:val="both"/>
        <w:rPr>
          <w:rFonts w:ascii="Palatino Linotype" w:hAnsi="Palatino Linotype" w:cs="Arial"/>
          <w:sz w:val="24"/>
          <w:szCs w:val="24"/>
        </w:rPr>
      </w:pPr>
    </w:p>
    <w:p w:rsidR="00DC35D1" w:rsidRPr="00DC35D1" w:rsidRDefault="00DC35D1" w:rsidP="00E45A4F">
      <w:pPr>
        <w:pStyle w:val="Prrafodelista"/>
        <w:spacing w:after="0" w:line="360" w:lineRule="auto"/>
        <w:ind w:left="0"/>
        <w:jc w:val="both"/>
        <w:rPr>
          <w:rFonts w:ascii="Palatino Linotype" w:hAnsi="Palatino Linotype" w:cs="Arial"/>
          <w:sz w:val="24"/>
          <w:szCs w:val="24"/>
        </w:rPr>
      </w:pPr>
      <w:r w:rsidRPr="00DC35D1">
        <w:rPr>
          <w:rFonts w:ascii="Palatino Linotype" w:hAnsi="Palatino Linotype"/>
          <w:sz w:val="24"/>
          <w:szCs w:val="24"/>
        </w:rPr>
        <w:t xml:space="preserve">Para respetar adecuadamente el Derecho de acceso a la información no basta con la simple referencia </w:t>
      </w:r>
      <w:r w:rsidR="00794169">
        <w:rPr>
          <w:rFonts w:ascii="Palatino Linotype" w:hAnsi="Palatino Linotype"/>
          <w:sz w:val="24"/>
          <w:szCs w:val="24"/>
        </w:rPr>
        <w:t xml:space="preserve">del sitio electrónico, sino </w:t>
      </w:r>
      <w:r w:rsidRPr="00DC35D1">
        <w:rPr>
          <w:rFonts w:ascii="Palatino Linotype" w:hAnsi="Palatino Linotype"/>
          <w:sz w:val="24"/>
          <w:szCs w:val="24"/>
        </w:rPr>
        <w:t xml:space="preserve">que debe indicar de manera precisa </w:t>
      </w:r>
      <w:r w:rsidR="00794169">
        <w:rPr>
          <w:rFonts w:ascii="Palatino Linotype" w:hAnsi="Palatino Linotype"/>
          <w:sz w:val="24"/>
          <w:szCs w:val="24"/>
        </w:rPr>
        <w:t>la fuente, el lugar y la forma en que puede consultarse</w:t>
      </w:r>
      <w:r w:rsidRPr="00DC35D1">
        <w:rPr>
          <w:rFonts w:ascii="Palatino Linotype" w:hAnsi="Palatino Linotype"/>
          <w:sz w:val="24"/>
          <w:szCs w:val="24"/>
        </w:rPr>
        <w:t xml:space="preserve"> en cuyo contenido consta la información que satisface la solicitud</w:t>
      </w:r>
      <w:r w:rsidRPr="00DC35D1">
        <w:rPr>
          <w:rFonts w:ascii="Palatino Linotype" w:hAnsi="Palatino Linotype" w:cs="Arial"/>
          <w:sz w:val="24"/>
          <w:szCs w:val="24"/>
        </w:rPr>
        <w:t>,</w:t>
      </w:r>
      <w:r w:rsidRPr="00DC35D1">
        <w:rPr>
          <w:rFonts w:ascii="Palatino Linotype" w:hAnsi="Palatino Linotype"/>
          <w:sz w:val="24"/>
          <w:szCs w:val="24"/>
        </w:rPr>
        <w:t xml:space="preserve"> y no debe implicar que el solicitante realice una búsqueda en toda la información que se encuentre disponible </w:t>
      </w:r>
      <w:r w:rsidR="00794169">
        <w:rPr>
          <w:rFonts w:ascii="Palatino Linotype" w:hAnsi="Palatino Linotype"/>
          <w:sz w:val="24"/>
          <w:szCs w:val="24"/>
        </w:rPr>
        <w:t>en la página</w:t>
      </w:r>
      <w:r w:rsidR="00794169">
        <w:rPr>
          <w:rFonts w:ascii="Palatino Linotype" w:hAnsi="Palatino Linotype" w:cs="Arial"/>
          <w:sz w:val="24"/>
          <w:szCs w:val="24"/>
        </w:rPr>
        <w:t>, por lo que al proporcionar la información en respuesta o informe Justificado</w:t>
      </w:r>
      <w:r w:rsidRPr="00DC35D1">
        <w:rPr>
          <w:rFonts w:ascii="Palatino Linotype" w:hAnsi="Palatino Linotype" w:cs="Arial"/>
          <w:sz w:val="24"/>
          <w:szCs w:val="24"/>
        </w:rPr>
        <w:t>, deberá tener especial cuid</w:t>
      </w:r>
      <w:r w:rsidR="00794169">
        <w:rPr>
          <w:rFonts w:ascii="Palatino Linotype" w:hAnsi="Palatino Linotype" w:cs="Arial"/>
          <w:sz w:val="24"/>
          <w:szCs w:val="24"/>
        </w:rPr>
        <w:t xml:space="preserve">ado, ya que de ello depende, </w:t>
      </w:r>
      <w:r w:rsidRPr="00DC35D1">
        <w:rPr>
          <w:rFonts w:ascii="Palatino Linotype" w:hAnsi="Palatino Linotype" w:cs="Arial"/>
          <w:sz w:val="24"/>
          <w:szCs w:val="24"/>
        </w:rPr>
        <w:t xml:space="preserve">que la obligación de acceso a la información pública se tenga por cumplida, al poner a disposición del particular el soporte documental requerido. </w:t>
      </w:r>
    </w:p>
    <w:sdt>
      <w:sdtPr>
        <w:rPr>
          <w:rFonts w:asciiTheme="minorHAnsi" w:eastAsiaTheme="minorHAnsi" w:hAnsiTheme="minorHAnsi" w:cstheme="minorBidi"/>
          <w:b w:val="0"/>
          <w:sz w:val="22"/>
          <w:szCs w:val="22"/>
          <w:lang w:val="es-ES" w:eastAsia="en-US"/>
        </w:rPr>
        <w:id w:val="-1339223820"/>
        <w:docPartObj>
          <w:docPartGallery w:val="Table of Contents"/>
          <w:docPartUnique/>
        </w:docPartObj>
      </w:sdtPr>
      <w:sdtEndPr>
        <w:rPr>
          <w:rFonts w:ascii="Palatino Linotype" w:hAnsi="Palatino Linotype"/>
          <w:bCs/>
          <w:sz w:val="24"/>
          <w:szCs w:val="24"/>
        </w:rPr>
      </w:sdtEndPr>
      <w:sdtContent>
        <w:p w:rsidR="00625340" w:rsidRPr="00F15522" w:rsidRDefault="00625340">
          <w:pPr>
            <w:pStyle w:val="TtulodeTDC"/>
            <w:rPr>
              <w:szCs w:val="24"/>
            </w:rPr>
          </w:pPr>
          <w:r w:rsidRPr="00F15522">
            <w:rPr>
              <w:szCs w:val="24"/>
              <w:lang w:val="es-ES"/>
            </w:rPr>
            <w:t>Índice</w:t>
          </w:r>
        </w:p>
        <w:p w:rsidR="0056327C" w:rsidRPr="0056327C" w:rsidRDefault="00625340">
          <w:pPr>
            <w:pStyle w:val="TDC1"/>
            <w:tabs>
              <w:tab w:val="left" w:pos="440"/>
              <w:tab w:val="right" w:leader="dot" w:pos="8828"/>
            </w:tabs>
            <w:rPr>
              <w:rFonts w:ascii="Palatino Linotype" w:eastAsiaTheme="minorEastAsia" w:hAnsi="Palatino Linotype"/>
              <w:noProof/>
              <w:sz w:val="24"/>
              <w:szCs w:val="24"/>
              <w:lang w:eastAsia="es-MX"/>
            </w:rPr>
          </w:pPr>
          <w:r w:rsidRPr="0056327C">
            <w:rPr>
              <w:rFonts w:ascii="Palatino Linotype" w:hAnsi="Palatino Linotype"/>
              <w:sz w:val="24"/>
              <w:szCs w:val="24"/>
            </w:rPr>
            <w:fldChar w:fldCharType="begin"/>
          </w:r>
          <w:r w:rsidRPr="0056327C">
            <w:rPr>
              <w:rFonts w:ascii="Palatino Linotype" w:hAnsi="Palatino Linotype"/>
              <w:sz w:val="24"/>
              <w:szCs w:val="24"/>
            </w:rPr>
            <w:instrText xml:space="preserve"> TOC \o "1-3" \h \z \u </w:instrText>
          </w:r>
          <w:r w:rsidRPr="0056327C">
            <w:rPr>
              <w:rFonts w:ascii="Palatino Linotype" w:hAnsi="Palatino Linotype"/>
              <w:sz w:val="24"/>
              <w:szCs w:val="24"/>
            </w:rPr>
            <w:fldChar w:fldCharType="separate"/>
          </w:r>
          <w:hyperlink w:anchor="_Toc473892910" w:history="1">
            <w:r w:rsidR="0056327C" w:rsidRPr="0056327C">
              <w:rPr>
                <w:rStyle w:val="Hipervnculo"/>
                <w:rFonts w:ascii="Palatino Linotype" w:hAnsi="Palatino Linotype"/>
                <w:noProof/>
                <w:sz w:val="24"/>
                <w:szCs w:val="24"/>
              </w:rPr>
              <w:t>I.</w:t>
            </w:r>
            <w:r w:rsidR="0056327C" w:rsidRPr="0056327C">
              <w:rPr>
                <w:rFonts w:ascii="Palatino Linotype" w:eastAsiaTheme="minorEastAsia" w:hAnsi="Palatino Linotype"/>
                <w:noProof/>
                <w:sz w:val="24"/>
                <w:szCs w:val="24"/>
                <w:lang w:eastAsia="es-MX"/>
              </w:rPr>
              <w:tab/>
            </w:r>
            <w:r w:rsidR="0056327C" w:rsidRPr="0056327C">
              <w:rPr>
                <w:rStyle w:val="Hipervnculo"/>
                <w:rFonts w:ascii="Palatino Linotype" w:hAnsi="Palatino Linotype"/>
                <w:noProof/>
                <w:sz w:val="24"/>
                <w:szCs w:val="24"/>
              </w:rPr>
              <w:t>Consideraciones Generales</w:t>
            </w:r>
            <w:r w:rsidR="0056327C" w:rsidRPr="0056327C">
              <w:rPr>
                <w:rFonts w:ascii="Palatino Linotype" w:hAnsi="Palatino Linotype"/>
                <w:noProof/>
                <w:webHidden/>
                <w:sz w:val="24"/>
                <w:szCs w:val="24"/>
              </w:rPr>
              <w:tab/>
            </w:r>
            <w:r w:rsidR="0056327C" w:rsidRPr="0056327C">
              <w:rPr>
                <w:rFonts w:ascii="Palatino Linotype" w:hAnsi="Palatino Linotype"/>
                <w:noProof/>
                <w:webHidden/>
                <w:sz w:val="24"/>
                <w:szCs w:val="24"/>
              </w:rPr>
              <w:fldChar w:fldCharType="begin"/>
            </w:r>
            <w:r w:rsidR="0056327C" w:rsidRPr="0056327C">
              <w:rPr>
                <w:rFonts w:ascii="Palatino Linotype" w:hAnsi="Palatino Linotype"/>
                <w:noProof/>
                <w:webHidden/>
                <w:sz w:val="24"/>
                <w:szCs w:val="24"/>
              </w:rPr>
              <w:instrText xml:space="preserve"> PAGEREF _Toc473892910 \h </w:instrText>
            </w:r>
            <w:r w:rsidR="0056327C" w:rsidRPr="0056327C">
              <w:rPr>
                <w:rFonts w:ascii="Palatino Linotype" w:hAnsi="Palatino Linotype"/>
                <w:noProof/>
                <w:webHidden/>
                <w:sz w:val="24"/>
                <w:szCs w:val="24"/>
              </w:rPr>
            </w:r>
            <w:r w:rsidR="0056327C" w:rsidRPr="0056327C">
              <w:rPr>
                <w:rFonts w:ascii="Palatino Linotype" w:hAnsi="Palatino Linotype"/>
                <w:noProof/>
                <w:webHidden/>
                <w:sz w:val="24"/>
                <w:szCs w:val="24"/>
              </w:rPr>
              <w:fldChar w:fldCharType="separate"/>
            </w:r>
            <w:r w:rsidR="00196D0F">
              <w:rPr>
                <w:rFonts w:ascii="Palatino Linotype" w:hAnsi="Palatino Linotype"/>
                <w:noProof/>
                <w:webHidden/>
                <w:sz w:val="24"/>
                <w:szCs w:val="24"/>
              </w:rPr>
              <w:t>2</w:t>
            </w:r>
            <w:r w:rsidR="0056327C" w:rsidRPr="0056327C">
              <w:rPr>
                <w:rFonts w:ascii="Palatino Linotype" w:hAnsi="Palatino Linotype"/>
                <w:noProof/>
                <w:webHidden/>
                <w:sz w:val="24"/>
                <w:szCs w:val="24"/>
              </w:rPr>
              <w:fldChar w:fldCharType="end"/>
            </w:r>
          </w:hyperlink>
        </w:p>
        <w:p w:rsidR="0056327C" w:rsidRPr="0056327C" w:rsidRDefault="00DD6126">
          <w:pPr>
            <w:pStyle w:val="TDC1"/>
            <w:tabs>
              <w:tab w:val="right" w:leader="dot" w:pos="8828"/>
            </w:tabs>
            <w:rPr>
              <w:rFonts w:ascii="Palatino Linotype" w:eastAsiaTheme="minorEastAsia" w:hAnsi="Palatino Linotype"/>
              <w:noProof/>
              <w:sz w:val="24"/>
              <w:szCs w:val="24"/>
              <w:lang w:eastAsia="es-MX"/>
            </w:rPr>
          </w:pPr>
          <w:hyperlink w:anchor="_Toc473892911" w:history="1">
            <w:r w:rsidR="0056327C" w:rsidRPr="0056327C">
              <w:rPr>
                <w:rStyle w:val="Hipervnculo"/>
                <w:rFonts w:ascii="Palatino Linotype" w:hAnsi="Palatino Linotype"/>
                <w:noProof/>
                <w:sz w:val="24"/>
                <w:szCs w:val="24"/>
              </w:rPr>
              <w:t>II.  Del Procedimiento de Acceso a la Información Pública.</w:t>
            </w:r>
            <w:r w:rsidR="0056327C" w:rsidRPr="0056327C">
              <w:rPr>
                <w:rFonts w:ascii="Palatino Linotype" w:hAnsi="Palatino Linotype"/>
                <w:noProof/>
                <w:webHidden/>
                <w:sz w:val="24"/>
                <w:szCs w:val="24"/>
              </w:rPr>
              <w:tab/>
            </w:r>
            <w:r w:rsidR="0056327C" w:rsidRPr="0056327C">
              <w:rPr>
                <w:rFonts w:ascii="Palatino Linotype" w:hAnsi="Palatino Linotype"/>
                <w:noProof/>
                <w:webHidden/>
                <w:sz w:val="24"/>
                <w:szCs w:val="24"/>
              </w:rPr>
              <w:fldChar w:fldCharType="begin"/>
            </w:r>
            <w:r w:rsidR="0056327C" w:rsidRPr="0056327C">
              <w:rPr>
                <w:rFonts w:ascii="Palatino Linotype" w:hAnsi="Palatino Linotype"/>
                <w:noProof/>
                <w:webHidden/>
                <w:sz w:val="24"/>
                <w:szCs w:val="24"/>
              </w:rPr>
              <w:instrText xml:space="preserve"> PAGEREF _Toc473892911 \h </w:instrText>
            </w:r>
            <w:r w:rsidR="0056327C" w:rsidRPr="0056327C">
              <w:rPr>
                <w:rFonts w:ascii="Palatino Linotype" w:hAnsi="Palatino Linotype"/>
                <w:noProof/>
                <w:webHidden/>
                <w:sz w:val="24"/>
                <w:szCs w:val="24"/>
              </w:rPr>
            </w:r>
            <w:r w:rsidR="0056327C" w:rsidRPr="0056327C">
              <w:rPr>
                <w:rFonts w:ascii="Palatino Linotype" w:hAnsi="Palatino Linotype"/>
                <w:noProof/>
                <w:webHidden/>
                <w:sz w:val="24"/>
                <w:szCs w:val="24"/>
              </w:rPr>
              <w:fldChar w:fldCharType="separate"/>
            </w:r>
            <w:r w:rsidR="00196D0F">
              <w:rPr>
                <w:rFonts w:ascii="Palatino Linotype" w:hAnsi="Palatino Linotype"/>
                <w:noProof/>
                <w:webHidden/>
                <w:sz w:val="24"/>
                <w:szCs w:val="24"/>
              </w:rPr>
              <w:t>3</w:t>
            </w:r>
            <w:r w:rsidR="0056327C" w:rsidRPr="0056327C">
              <w:rPr>
                <w:rFonts w:ascii="Palatino Linotype" w:hAnsi="Palatino Linotype"/>
                <w:noProof/>
                <w:webHidden/>
                <w:sz w:val="24"/>
                <w:szCs w:val="24"/>
              </w:rPr>
              <w:fldChar w:fldCharType="end"/>
            </w:r>
          </w:hyperlink>
        </w:p>
        <w:p w:rsidR="0056327C" w:rsidRPr="0056327C" w:rsidRDefault="00DD6126">
          <w:pPr>
            <w:pStyle w:val="TDC1"/>
            <w:tabs>
              <w:tab w:val="right" w:leader="dot" w:pos="8828"/>
            </w:tabs>
            <w:rPr>
              <w:rFonts w:ascii="Palatino Linotype" w:eastAsiaTheme="minorEastAsia" w:hAnsi="Palatino Linotype"/>
              <w:noProof/>
              <w:sz w:val="24"/>
              <w:szCs w:val="24"/>
              <w:lang w:eastAsia="es-MX"/>
            </w:rPr>
          </w:pPr>
          <w:hyperlink w:anchor="_Toc473892912" w:history="1">
            <w:r w:rsidR="0056327C" w:rsidRPr="0056327C">
              <w:rPr>
                <w:rStyle w:val="Hipervnculo"/>
                <w:rFonts w:ascii="Palatino Linotype" w:hAnsi="Palatino Linotype"/>
                <w:noProof/>
                <w:sz w:val="24"/>
                <w:szCs w:val="24"/>
              </w:rPr>
              <w:t xml:space="preserve">III.  </w:t>
            </w:r>
            <w:r w:rsidR="00DC35D1">
              <w:rPr>
                <w:rStyle w:val="Hipervnculo"/>
                <w:rFonts w:ascii="Palatino Linotype" w:hAnsi="Palatino Linotype"/>
                <w:noProof/>
                <w:sz w:val="24"/>
                <w:szCs w:val="24"/>
              </w:rPr>
              <w:t>De la Suplencia a</w:t>
            </w:r>
            <w:r w:rsidR="0056327C" w:rsidRPr="0056327C">
              <w:rPr>
                <w:rStyle w:val="Hipervnculo"/>
                <w:rFonts w:ascii="Palatino Linotype" w:hAnsi="Palatino Linotype"/>
                <w:noProof/>
                <w:sz w:val="24"/>
                <w:szCs w:val="24"/>
              </w:rPr>
              <w:t xml:space="preserve"> de Acceso a la Información Pública.</w:t>
            </w:r>
            <w:r w:rsidR="0056327C" w:rsidRPr="0056327C">
              <w:rPr>
                <w:rFonts w:ascii="Palatino Linotype" w:hAnsi="Palatino Linotype"/>
                <w:noProof/>
                <w:webHidden/>
                <w:sz w:val="24"/>
                <w:szCs w:val="24"/>
              </w:rPr>
              <w:tab/>
            </w:r>
            <w:r w:rsidR="0056327C" w:rsidRPr="0056327C">
              <w:rPr>
                <w:rFonts w:ascii="Palatino Linotype" w:hAnsi="Palatino Linotype"/>
                <w:noProof/>
                <w:webHidden/>
                <w:sz w:val="24"/>
                <w:szCs w:val="24"/>
              </w:rPr>
              <w:fldChar w:fldCharType="begin"/>
            </w:r>
            <w:r w:rsidR="0056327C" w:rsidRPr="0056327C">
              <w:rPr>
                <w:rFonts w:ascii="Palatino Linotype" w:hAnsi="Palatino Linotype"/>
                <w:noProof/>
                <w:webHidden/>
                <w:sz w:val="24"/>
                <w:szCs w:val="24"/>
              </w:rPr>
              <w:instrText xml:space="preserve"> PAGEREF _Toc473892912 \h </w:instrText>
            </w:r>
            <w:r w:rsidR="0056327C" w:rsidRPr="0056327C">
              <w:rPr>
                <w:rFonts w:ascii="Palatino Linotype" w:hAnsi="Palatino Linotype"/>
                <w:noProof/>
                <w:webHidden/>
                <w:sz w:val="24"/>
                <w:szCs w:val="24"/>
              </w:rPr>
            </w:r>
            <w:r w:rsidR="0056327C" w:rsidRPr="0056327C">
              <w:rPr>
                <w:rFonts w:ascii="Palatino Linotype" w:hAnsi="Palatino Linotype"/>
                <w:noProof/>
                <w:webHidden/>
                <w:sz w:val="24"/>
                <w:szCs w:val="24"/>
              </w:rPr>
              <w:fldChar w:fldCharType="separate"/>
            </w:r>
            <w:r w:rsidR="00196D0F">
              <w:rPr>
                <w:rFonts w:ascii="Palatino Linotype" w:hAnsi="Palatino Linotype"/>
                <w:noProof/>
                <w:webHidden/>
                <w:sz w:val="24"/>
                <w:szCs w:val="24"/>
              </w:rPr>
              <w:t>5</w:t>
            </w:r>
            <w:r w:rsidR="0056327C" w:rsidRPr="0056327C">
              <w:rPr>
                <w:rFonts w:ascii="Palatino Linotype" w:hAnsi="Palatino Linotype"/>
                <w:noProof/>
                <w:webHidden/>
                <w:sz w:val="24"/>
                <w:szCs w:val="24"/>
              </w:rPr>
              <w:fldChar w:fldCharType="end"/>
            </w:r>
          </w:hyperlink>
        </w:p>
        <w:p w:rsidR="00625340" w:rsidRPr="0056327C" w:rsidRDefault="00625340">
          <w:pPr>
            <w:rPr>
              <w:rFonts w:ascii="Palatino Linotype" w:hAnsi="Palatino Linotype"/>
              <w:sz w:val="24"/>
              <w:szCs w:val="24"/>
            </w:rPr>
          </w:pPr>
          <w:r w:rsidRPr="0056327C">
            <w:rPr>
              <w:rFonts w:ascii="Palatino Linotype" w:hAnsi="Palatino Linotype"/>
              <w:b/>
              <w:bCs/>
              <w:sz w:val="24"/>
              <w:szCs w:val="24"/>
              <w:lang w:val="es-ES"/>
            </w:rPr>
            <w:fldChar w:fldCharType="end"/>
          </w:r>
        </w:p>
      </w:sdtContent>
    </w:sdt>
    <w:p w:rsidR="00625340" w:rsidRDefault="00625340" w:rsidP="003431E5">
      <w:pPr>
        <w:pStyle w:val="Ttulo1"/>
        <w:numPr>
          <w:ilvl w:val="0"/>
          <w:numId w:val="15"/>
        </w:numPr>
      </w:pPr>
      <w:bookmarkStart w:id="1" w:name="_Toc473892910"/>
      <w:r w:rsidRPr="00796B57">
        <w:t xml:space="preserve">Consideraciones </w:t>
      </w:r>
      <w:r w:rsidRPr="00625340">
        <w:t>Generales</w:t>
      </w:r>
      <w:bookmarkEnd w:id="1"/>
    </w:p>
    <w:p w:rsidR="003431E5" w:rsidRPr="003431E5" w:rsidRDefault="003431E5" w:rsidP="003431E5"/>
    <w:p w:rsidR="00625340" w:rsidRDefault="00703F02" w:rsidP="00625340">
      <w:pPr>
        <w:pStyle w:val="Prrafodelista"/>
        <w:numPr>
          <w:ilvl w:val="0"/>
          <w:numId w:val="11"/>
        </w:numPr>
        <w:spacing w:after="0" w:line="360" w:lineRule="auto"/>
        <w:ind w:left="0"/>
        <w:jc w:val="both"/>
        <w:rPr>
          <w:rFonts w:ascii="Palatino Linotype" w:hAnsi="Palatino Linotype" w:cs="Arial"/>
          <w:b/>
          <w:sz w:val="24"/>
          <w:szCs w:val="24"/>
        </w:rPr>
      </w:pPr>
      <w:r>
        <w:rPr>
          <w:rFonts w:ascii="Palatino Linotype" w:eastAsia="Times New Roman" w:hAnsi="Palatino Linotype" w:cs="Arial"/>
          <w:sz w:val="24"/>
          <w:szCs w:val="24"/>
          <w:lang w:val="es-ES_tradnl"/>
        </w:rPr>
        <w:t xml:space="preserve">He concurrido con mi </w:t>
      </w:r>
      <w:r w:rsidR="00C02AF0">
        <w:rPr>
          <w:rFonts w:ascii="Palatino Linotype" w:eastAsia="Times New Roman" w:hAnsi="Palatino Linotype" w:cs="Arial"/>
          <w:sz w:val="24"/>
          <w:szCs w:val="24"/>
          <w:lang w:val="es-ES_tradnl"/>
        </w:rPr>
        <w:t>voto</w:t>
      </w:r>
      <w:r w:rsidR="00625340" w:rsidRPr="001C3008">
        <w:rPr>
          <w:rFonts w:ascii="Palatino Linotype" w:eastAsia="Times New Roman" w:hAnsi="Palatino Linotype" w:cs="Arial"/>
          <w:sz w:val="24"/>
          <w:szCs w:val="24"/>
          <w:lang w:val="es-ES_tradnl"/>
        </w:rPr>
        <w:t xml:space="preserve"> particular de la presente resolución emitida </w:t>
      </w:r>
      <w:r w:rsidR="00625340" w:rsidRPr="001C3008">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165703">
        <w:rPr>
          <w:rFonts w:ascii="Palatino Linotype" w:hAnsi="Palatino Linotype" w:cs="Arial"/>
          <w:sz w:val="24"/>
          <w:szCs w:val="24"/>
        </w:rPr>
        <w:t>tercera sesión</w:t>
      </w:r>
      <w:r w:rsidR="00175E9F">
        <w:rPr>
          <w:rFonts w:ascii="Palatino Linotype" w:hAnsi="Palatino Linotype" w:cs="Arial"/>
          <w:sz w:val="24"/>
          <w:szCs w:val="24"/>
        </w:rPr>
        <w:t xml:space="preserve"> ordinaria del día </w:t>
      </w:r>
      <w:r w:rsidR="00165703">
        <w:rPr>
          <w:rFonts w:ascii="Palatino Linotype" w:hAnsi="Palatino Linotype" w:cs="Arial"/>
          <w:sz w:val="24"/>
          <w:szCs w:val="24"/>
        </w:rPr>
        <w:t>veintitrés de enero</w:t>
      </w:r>
      <w:r w:rsidR="00175E9F">
        <w:rPr>
          <w:rFonts w:ascii="Palatino Linotype" w:hAnsi="Palatino Linotype" w:cs="Arial"/>
          <w:sz w:val="24"/>
          <w:szCs w:val="24"/>
        </w:rPr>
        <w:t xml:space="preserve"> de dos mil dieci</w:t>
      </w:r>
      <w:r w:rsidR="00165703">
        <w:rPr>
          <w:rFonts w:ascii="Palatino Linotype" w:hAnsi="Palatino Linotype" w:cs="Arial"/>
          <w:sz w:val="24"/>
          <w:szCs w:val="24"/>
        </w:rPr>
        <w:t>nueve</w:t>
      </w:r>
      <w:r w:rsidR="00625340" w:rsidRPr="001C3008">
        <w:rPr>
          <w:rFonts w:ascii="Palatino Linotype" w:hAnsi="Palatino Linotype" w:cs="Arial"/>
          <w:sz w:val="24"/>
          <w:szCs w:val="24"/>
        </w:rPr>
        <w:t xml:space="preserve">, en </w:t>
      </w:r>
      <w:r w:rsidR="00625340">
        <w:rPr>
          <w:rFonts w:ascii="Palatino Linotype" w:hAnsi="Palatino Linotype" w:cs="Arial"/>
          <w:sz w:val="24"/>
          <w:szCs w:val="24"/>
        </w:rPr>
        <w:t>el recurso de revisión promovido</w:t>
      </w:r>
      <w:r w:rsidR="00165703">
        <w:rPr>
          <w:rFonts w:ascii="Palatino Linotype" w:hAnsi="Palatino Linotype" w:cs="Arial"/>
          <w:sz w:val="24"/>
          <w:szCs w:val="24"/>
        </w:rPr>
        <w:t xml:space="preserve"> </w:t>
      </w:r>
      <w:r w:rsidR="00625340">
        <w:rPr>
          <w:rFonts w:ascii="Palatino Linotype" w:hAnsi="Palatino Linotype" w:cs="Arial"/>
          <w:sz w:val="24"/>
          <w:szCs w:val="24"/>
        </w:rPr>
        <w:t>e</w:t>
      </w:r>
      <w:r w:rsidR="00625340" w:rsidRPr="001C3008">
        <w:rPr>
          <w:rFonts w:ascii="Palatino Linotype" w:hAnsi="Palatino Linotype" w:cs="Arial"/>
          <w:sz w:val="24"/>
          <w:szCs w:val="24"/>
        </w:rPr>
        <w:t xml:space="preserve">n contra de la respuesta </w:t>
      </w:r>
      <w:r w:rsidR="00B02F56">
        <w:rPr>
          <w:rFonts w:ascii="Palatino Linotype" w:hAnsi="Palatino Linotype" w:cs="Arial"/>
          <w:sz w:val="24"/>
          <w:szCs w:val="24"/>
        </w:rPr>
        <w:t>de</w:t>
      </w:r>
      <w:r w:rsidR="00165703">
        <w:rPr>
          <w:rFonts w:ascii="Palatino Linotype" w:hAnsi="Palatino Linotype" w:cs="Arial"/>
          <w:sz w:val="24"/>
          <w:szCs w:val="24"/>
        </w:rPr>
        <w:t xml:space="preserve"> </w:t>
      </w:r>
      <w:r w:rsidR="00465D03">
        <w:rPr>
          <w:rFonts w:ascii="Palatino Linotype" w:hAnsi="Palatino Linotype" w:cs="Arial"/>
          <w:sz w:val="24"/>
          <w:szCs w:val="24"/>
        </w:rPr>
        <w:t>l</w:t>
      </w:r>
      <w:r w:rsidR="00165703">
        <w:rPr>
          <w:rFonts w:ascii="Palatino Linotype" w:hAnsi="Palatino Linotype" w:cs="Arial"/>
          <w:sz w:val="24"/>
          <w:szCs w:val="24"/>
        </w:rPr>
        <w:t>a</w:t>
      </w:r>
      <w:r w:rsidR="00C02AF0">
        <w:rPr>
          <w:rFonts w:ascii="Palatino Linotype" w:hAnsi="Palatino Linotype" w:cs="Arial"/>
          <w:sz w:val="24"/>
          <w:szCs w:val="24"/>
        </w:rPr>
        <w:t xml:space="preserve"> </w:t>
      </w:r>
      <w:r w:rsidR="00165703">
        <w:rPr>
          <w:rFonts w:ascii="Palatino Linotype" w:hAnsi="Palatino Linotype" w:cs="Arial"/>
          <w:b/>
          <w:sz w:val="24"/>
          <w:szCs w:val="24"/>
        </w:rPr>
        <w:t>Secretaría de Finanzas</w:t>
      </w:r>
      <w:r w:rsidR="00625340" w:rsidRPr="001C3008">
        <w:rPr>
          <w:rFonts w:ascii="Palatino Linotype" w:hAnsi="Palatino Linotype" w:cs="Arial"/>
          <w:sz w:val="24"/>
          <w:szCs w:val="24"/>
        </w:rPr>
        <w:t>, proce</w:t>
      </w:r>
      <w:r w:rsidR="00625340">
        <w:rPr>
          <w:rFonts w:ascii="Palatino Linotype" w:hAnsi="Palatino Linotype" w:cs="Arial"/>
          <w:sz w:val="24"/>
          <w:szCs w:val="24"/>
        </w:rPr>
        <w:t xml:space="preserve">dimiento al que se le asignó el número de expediente </w:t>
      </w:r>
      <w:r w:rsidR="00625340">
        <w:rPr>
          <w:rFonts w:ascii="Palatino Linotype" w:hAnsi="Palatino Linotype" w:cs="Arial"/>
          <w:bCs/>
          <w:sz w:val="24"/>
          <w:szCs w:val="24"/>
        </w:rPr>
        <w:t>0</w:t>
      </w:r>
      <w:r w:rsidR="00165703">
        <w:rPr>
          <w:rFonts w:ascii="Palatino Linotype" w:hAnsi="Palatino Linotype" w:cs="Arial"/>
          <w:bCs/>
          <w:sz w:val="24"/>
          <w:szCs w:val="24"/>
        </w:rPr>
        <w:t>4257</w:t>
      </w:r>
      <w:r w:rsidR="00625340">
        <w:rPr>
          <w:rFonts w:ascii="Palatino Linotype" w:hAnsi="Palatino Linotype" w:cs="Arial"/>
          <w:bCs/>
          <w:sz w:val="24"/>
          <w:szCs w:val="24"/>
        </w:rPr>
        <w:t>/INFOEM/IP/RR/201</w:t>
      </w:r>
      <w:r w:rsidR="00165703">
        <w:rPr>
          <w:rFonts w:ascii="Palatino Linotype" w:hAnsi="Palatino Linotype" w:cs="Arial"/>
          <w:bCs/>
          <w:sz w:val="24"/>
          <w:szCs w:val="24"/>
        </w:rPr>
        <w:t>8</w:t>
      </w:r>
      <w:r w:rsidR="00625340">
        <w:rPr>
          <w:rFonts w:ascii="Palatino Linotype" w:hAnsi="Palatino Linotype" w:cs="Arial"/>
          <w:b/>
          <w:sz w:val="24"/>
          <w:szCs w:val="24"/>
        </w:rPr>
        <w:t>.</w:t>
      </w:r>
    </w:p>
    <w:p w:rsidR="00625340" w:rsidRDefault="00625340" w:rsidP="00625340">
      <w:pPr>
        <w:pStyle w:val="Prrafodelista"/>
        <w:spacing w:after="0" w:line="360" w:lineRule="auto"/>
        <w:ind w:left="0"/>
        <w:jc w:val="both"/>
        <w:rPr>
          <w:rFonts w:ascii="Palatino Linotype" w:hAnsi="Palatino Linotype" w:cs="Arial"/>
          <w:b/>
          <w:sz w:val="24"/>
          <w:szCs w:val="24"/>
        </w:rPr>
      </w:pPr>
    </w:p>
    <w:p w:rsidR="00A143D1" w:rsidRPr="003C7564" w:rsidRDefault="00F72C33" w:rsidP="00A143D1">
      <w:pPr>
        <w:pStyle w:val="Prrafodelista"/>
        <w:numPr>
          <w:ilvl w:val="0"/>
          <w:numId w:val="11"/>
        </w:numPr>
        <w:spacing w:after="0" w:line="360" w:lineRule="auto"/>
        <w:ind w:left="0"/>
        <w:jc w:val="both"/>
        <w:rPr>
          <w:rFonts w:ascii="Palatino Linotype" w:hAnsi="Palatino Linotype" w:cs="Arial"/>
          <w:b/>
          <w:sz w:val="24"/>
          <w:szCs w:val="24"/>
        </w:rPr>
      </w:pPr>
      <w:r w:rsidRPr="003C7564">
        <w:rPr>
          <w:rFonts w:ascii="Palatino Linotype" w:hAnsi="Palatino Linotype" w:cs="Arial"/>
          <w:sz w:val="24"/>
          <w:szCs w:val="24"/>
        </w:rPr>
        <w:t xml:space="preserve">La resolución determina </w:t>
      </w:r>
      <w:r w:rsidR="007B4C9B" w:rsidRPr="003C7564">
        <w:rPr>
          <w:rFonts w:ascii="Palatino Linotype" w:hAnsi="Palatino Linotype" w:cs="Arial"/>
          <w:sz w:val="24"/>
          <w:szCs w:val="24"/>
        </w:rPr>
        <w:t xml:space="preserve"> </w:t>
      </w:r>
      <w:r w:rsidR="00165703">
        <w:rPr>
          <w:rFonts w:ascii="Palatino Linotype" w:hAnsi="Palatino Linotype" w:cs="Arial"/>
          <w:sz w:val="24"/>
          <w:szCs w:val="24"/>
        </w:rPr>
        <w:t xml:space="preserve">confirmar la respuesta otorgada por el </w:t>
      </w:r>
      <w:r w:rsidR="00165703">
        <w:rPr>
          <w:rFonts w:ascii="Palatino Linotype" w:hAnsi="Palatino Linotype" w:cs="Arial"/>
          <w:b/>
          <w:sz w:val="24"/>
          <w:szCs w:val="24"/>
        </w:rPr>
        <w:t xml:space="preserve">SUJETO OBLIGADO </w:t>
      </w:r>
      <w:r w:rsidR="00165703">
        <w:rPr>
          <w:rFonts w:ascii="Palatino Linotype" w:hAnsi="Palatino Linotype" w:cs="Arial"/>
          <w:sz w:val="24"/>
          <w:szCs w:val="24"/>
        </w:rPr>
        <w:t xml:space="preserve">a la solicitud de información </w:t>
      </w:r>
      <w:r w:rsidR="00165703">
        <w:rPr>
          <w:rFonts w:ascii="Palatino Linotype" w:hAnsi="Palatino Linotype" w:cs="Arial"/>
          <w:b/>
          <w:sz w:val="24"/>
          <w:szCs w:val="24"/>
        </w:rPr>
        <w:t>00471/SF/IP/2018</w:t>
      </w:r>
      <w:r w:rsidR="00165703">
        <w:rPr>
          <w:rFonts w:ascii="Palatino Linotype" w:hAnsi="Palatino Linotype" w:cs="Arial"/>
          <w:sz w:val="24"/>
          <w:szCs w:val="24"/>
        </w:rPr>
        <w:t>, en la</w:t>
      </w:r>
      <w:r w:rsidRPr="003C7564">
        <w:rPr>
          <w:rFonts w:ascii="Palatino Linotype" w:hAnsi="Palatino Linotype" w:cs="Arial"/>
          <w:sz w:val="24"/>
          <w:szCs w:val="24"/>
        </w:rPr>
        <w:t xml:space="preserve"> que </w:t>
      </w:r>
      <w:r w:rsidR="00165703">
        <w:rPr>
          <w:rFonts w:ascii="Palatino Linotype" w:hAnsi="Palatino Linotype" w:cs="Arial"/>
          <w:sz w:val="24"/>
          <w:szCs w:val="24"/>
        </w:rPr>
        <w:t xml:space="preserve">la </w:t>
      </w:r>
      <w:r w:rsidR="00165703">
        <w:rPr>
          <w:rFonts w:ascii="Palatino Linotype" w:hAnsi="Palatino Linotype" w:cs="Arial"/>
          <w:b/>
          <w:sz w:val="24"/>
          <w:szCs w:val="24"/>
        </w:rPr>
        <w:t>Secretaría de Finanzas</w:t>
      </w:r>
      <w:r w:rsidR="00465D03">
        <w:rPr>
          <w:rFonts w:ascii="Palatino Linotype" w:hAnsi="Palatino Linotype" w:cs="Arial"/>
          <w:sz w:val="24"/>
          <w:szCs w:val="24"/>
        </w:rPr>
        <w:t xml:space="preserve"> </w:t>
      </w:r>
      <w:r w:rsidR="00165703">
        <w:rPr>
          <w:rFonts w:ascii="Palatino Linotype" w:hAnsi="Palatino Linotype" w:cs="Arial"/>
          <w:sz w:val="24"/>
          <w:szCs w:val="24"/>
        </w:rPr>
        <w:t xml:space="preserve">hizo del conocimiento del particular que la información solicitada estaba para su consulta en la página </w:t>
      </w:r>
      <w:r w:rsidR="00465D03">
        <w:rPr>
          <w:rFonts w:ascii="Palatino Linotype" w:hAnsi="Palatino Linotype" w:cs="Arial"/>
          <w:sz w:val="24"/>
          <w:szCs w:val="24"/>
        </w:rPr>
        <w:t xml:space="preserve"> </w:t>
      </w:r>
      <w:hyperlink r:id="rId8" w:history="1">
        <w:r w:rsidR="00165703" w:rsidRPr="00C30702">
          <w:rPr>
            <w:rStyle w:val="Hipervnculo"/>
            <w:rFonts w:ascii="Palatino Linotype" w:hAnsi="Palatino Linotype" w:cs="Arial"/>
          </w:rPr>
          <w:t>http://www.ipomex.org.mx/ipo/lgt/indice/finanzas.web</w:t>
        </w:r>
      </w:hyperlink>
      <w:r w:rsidR="00165703">
        <w:rPr>
          <w:rFonts w:ascii="Palatino Linotype" w:hAnsi="Palatino Linotype" w:cs="Arial"/>
        </w:rPr>
        <w:t xml:space="preserve"> </w:t>
      </w:r>
      <w:r w:rsidR="00165703" w:rsidRPr="00D47F58">
        <w:rPr>
          <w:rFonts w:ascii="Palatino Linotype" w:hAnsi="Palatino Linotype" w:cs="Arial"/>
        </w:rPr>
        <w:t xml:space="preserve"> fracción XXIX A "Procesos de licitación y contratación"</w:t>
      </w:r>
      <w:r w:rsidR="00C02AF0" w:rsidRPr="003C7564">
        <w:rPr>
          <w:rFonts w:ascii="Palatino Linotype" w:hAnsi="Palatino Linotype" w:cs="Arial"/>
          <w:sz w:val="24"/>
          <w:szCs w:val="24"/>
        </w:rPr>
        <w:t xml:space="preserve">, </w:t>
      </w:r>
      <w:r w:rsidR="00465D03">
        <w:rPr>
          <w:rFonts w:ascii="Palatino Linotype" w:hAnsi="Palatino Linotype" w:cs="Arial"/>
          <w:sz w:val="24"/>
          <w:szCs w:val="24"/>
        </w:rPr>
        <w:t xml:space="preserve">sin embargo al realizar la consulta no se obtiene la información por lo que la Ponencia </w:t>
      </w:r>
      <w:proofErr w:type="spellStart"/>
      <w:r w:rsidR="00465D03">
        <w:rPr>
          <w:rFonts w:ascii="Palatino Linotype" w:hAnsi="Palatino Linotype" w:cs="Arial"/>
          <w:sz w:val="24"/>
          <w:szCs w:val="24"/>
        </w:rPr>
        <w:t>resolutor</w:t>
      </w:r>
      <w:r w:rsidR="00F13097">
        <w:rPr>
          <w:rFonts w:ascii="Palatino Linotype" w:hAnsi="Palatino Linotype" w:cs="Arial"/>
          <w:sz w:val="24"/>
          <w:szCs w:val="24"/>
        </w:rPr>
        <w:t>a</w:t>
      </w:r>
      <w:proofErr w:type="spellEnd"/>
      <w:r w:rsidR="00465D03">
        <w:rPr>
          <w:rFonts w:ascii="Palatino Linotype" w:hAnsi="Palatino Linotype" w:cs="Arial"/>
          <w:sz w:val="24"/>
          <w:szCs w:val="24"/>
        </w:rPr>
        <w:t xml:space="preserve"> en suplencia a la información remitida </w:t>
      </w:r>
      <w:r w:rsidR="00165703">
        <w:rPr>
          <w:rFonts w:ascii="Palatino Linotype" w:hAnsi="Palatino Linotype" w:cs="Arial"/>
          <w:sz w:val="24"/>
          <w:szCs w:val="24"/>
        </w:rPr>
        <w:t xml:space="preserve">describió </w:t>
      </w:r>
      <w:r w:rsidR="00AC37F9">
        <w:rPr>
          <w:rFonts w:ascii="Palatino Linotype" w:hAnsi="Palatino Linotype" w:cs="Arial"/>
          <w:sz w:val="24"/>
          <w:szCs w:val="24"/>
        </w:rPr>
        <w:t xml:space="preserve">la forma en que se puede </w:t>
      </w:r>
      <w:r w:rsidR="00165703">
        <w:rPr>
          <w:rFonts w:ascii="Palatino Linotype" w:hAnsi="Palatino Linotype" w:cs="Arial"/>
          <w:sz w:val="24"/>
          <w:szCs w:val="24"/>
        </w:rPr>
        <w:t>llegar a la documentación requerida</w:t>
      </w:r>
      <w:r w:rsidR="00AC37F9">
        <w:rPr>
          <w:rFonts w:ascii="Palatino Linotype" w:hAnsi="Palatino Linotype" w:cs="Arial"/>
          <w:sz w:val="24"/>
          <w:szCs w:val="24"/>
        </w:rPr>
        <w:t xml:space="preserve">. </w:t>
      </w:r>
    </w:p>
    <w:p w:rsidR="003C7564" w:rsidRPr="003C7564" w:rsidRDefault="003C7564" w:rsidP="003C7564">
      <w:pPr>
        <w:pStyle w:val="Prrafodelista"/>
        <w:spacing w:after="0" w:line="360" w:lineRule="auto"/>
        <w:ind w:left="0"/>
        <w:jc w:val="both"/>
        <w:rPr>
          <w:rFonts w:ascii="Palatino Linotype" w:hAnsi="Palatino Linotype" w:cs="Arial"/>
          <w:b/>
          <w:sz w:val="24"/>
          <w:szCs w:val="24"/>
        </w:rPr>
      </w:pPr>
    </w:p>
    <w:p w:rsidR="00A143D1" w:rsidRDefault="00703F02" w:rsidP="008A64A2">
      <w:pPr>
        <w:pStyle w:val="Prrafodelista"/>
        <w:numPr>
          <w:ilvl w:val="0"/>
          <w:numId w:val="11"/>
        </w:numPr>
        <w:spacing w:before="240" w:after="240" w:line="360" w:lineRule="auto"/>
        <w:ind w:left="0"/>
        <w:jc w:val="both"/>
        <w:rPr>
          <w:rFonts w:ascii="Palatino Linotype" w:hAnsi="Palatino Linotype" w:cs="Arial"/>
          <w:sz w:val="24"/>
          <w:szCs w:val="24"/>
        </w:rPr>
      </w:pPr>
      <w:r w:rsidRPr="0036287F">
        <w:rPr>
          <w:rFonts w:ascii="Palatino Linotype" w:hAnsi="Palatino Linotype" w:cs="Arial"/>
          <w:sz w:val="24"/>
          <w:szCs w:val="24"/>
        </w:rPr>
        <w:lastRenderedPageBreak/>
        <w:t xml:space="preserve">Mi </w:t>
      </w:r>
      <w:r w:rsidR="00C02AF0">
        <w:rPr>
          <w:rFonts w:ascii="Palatino Linotype" w:hAnsi="Palatino Linotype" w:cs="Arial"/>
          <w:sz w:val="24"/>
          <w:szCs w:val="24"/>
        </w:rPr>
        <w:t>voto</w:t>
      </w:r>
      <w:r w:rsidR="00625340" w:rsidRPr="0036287F">
        <w:rPr>
          <w:rFonts w:ascii="Palatino Linotype" w:hAnsi="Palatino Linotype" w:cs="Arial"/>
          <w:sz w:val="24"/>
          <w:szCs w:val="24"/>
        </w:rPr>
        <w:t xml:space="preserve"> particular se deriva de</w:t>
      </w:r>
      <w:r w:rsidR="00A143D1" w:rsidRPr="0036287F">
        <w:rPr>
          <w:rFonts w:ascii="Palatino Linotype" w:hAnsi="Palatino Linotype" w:cs="Arial"/>
          <w:sz w:val="24"/>
          <w:szCs w:val="24"/>
        </w:rPr>
        <w:t xml:space="preserve"> la inobservancia al procedimiento para atender la solicitud </w:t>
      </w:r>
      <w:r w:rsidR="0036287F">
        <w:rPr>
          <w:rFonts w:ascii="Palatino Linotype" w:hAnsi="Palatino Linotype" w:cs="Arial"/>
          <w:sz w:val="24"/>
          <w:szCs w:val="24"/>
        </w:rPr>
        <w:t xml:space="preserve"> y de la suplencia que la Ponencia realiza para entregar la información, </w:t>
      </w:r>
      <w:r w:rsidR="00203EB6">
        <w:rPr>
          <w:rFonts w:ascii="Palatino Linotype" w:hAnsi="Palatino Linotype" w:cs="Arial"/>
          <w:sz w:val="24"/>
          <w:szCs w:val="24"/>
        </w:rPr>
        <w:t xml:space="preserve">ya </w:t>
      </w:r>
      <w:r w:rsidR="00336BC3">
        <w:rPr>
          <w:rFonts w:ascii="Palatino Linotype" w:hAnsi="Palatino Linotype" w:cs="Arial"/>
          <w:sz w:val="24"/>
          <w:szCs w:val="24"/>
        </w:rPr>
        <w:t xml:space="preserve">que si bien el </w:t>
      </w:r>
      <w:r w:rsidR="00336BC3">
        <w:rPr>
          <w:rFonts w:ascii="Palatino Linotype" w:hAnsi="Palatino Linotype" w:cs="Arial"/>
          <w:b/>
          <w:sz w:val="24"/>
          <w:szCs w:val="24"/>
        </w:rPr>
        <w:t xml:space="preserve">SUJETO OBLIGADO </w:t>
      </w:r>
      <w:r w:rsidR="00460CF5">
        <w:rPr>
          <w:rFonts w:ascii="Palatino Linotype" w:hAnsi="Palatino Linotype" w:cs="Arial"/>
          <w:sz w:val="24"/>
          <w:szCs w:val="24"/>
        </w:rPr>
        <w:t xml:space="preserve">indicó </w:t>
      </w:r>
      <w:r w:rsidR="00336BC3">
        <w:rPr>
          <w:rFonts w:ascii="Palatino Linotype" w:hAnsi="Palatino Linotype" w:cs="Arial"/>
          <w:sz w:val="24"/>
          <w:szCs w:val="24"/>
        </w:rPr>
        <w:t>el sitio electrónico</w:t>
      </w:r>
      <w:r w:rsidR="00460CF5">
        <w:rPr>
          <w:rFonts w:ascii="Palatino Linotype" w:hAnsi="Palatino Linotype" w:cs="Arial"/>
          <w:sz w:val="24"/>
          <w:szCs w:val="24"/>
        </w:rPr>
        <w:t xml:space="preserve">, </w:t>
      </w:r>
      <w:r w:rsidR="00AC37F9">
        <w:rPr>
          <w:rFonts w:ascii="Palatino Linotype" w:hAnsi="Palatino Linotype" w:cs="Arial"/>
          <w:sz w:val="24"/>
          <w:szCs w:val="24"/>
        </w:rPr>
        <w:t xml:space="preserve">no señala los pasos a seguir, lo que </w:t>
      </w:r>
      <w:r w:rsidR="00336BC3">
        <w:rPr>
          <w:rFonts w:ascii="Palatino Linotype" w:hAnsi="Palatino Linotype" w:cs="Arial"/>
          <w:sz w:val="24"/>
          <w:szCs w:val="24"/>
        </w:rPr>
        <w:t xml:space="preserve"> implicó para el </w:t>
      </w:r>
      <w:r w:rsidR="00336BC3">
        <w:rPr>
          <w:rFonts w:ascii="Palatino Linotype" w:hAnsi="Palatino Linotype" w:cs="Arial"/>
          <w:b/>
          <w:sz w:val="24"/>
          <w:szCs w:val="24"/>
        </w:rPr>
        <w:t xml:space="preserve">RECURRENTE </w:t>
      </w:r>
      <w:r w:rsidR="00336BC3">
        <w:rPr>
          <w:rFonts w:ascii="Palatino Linotype" w:hAnsi="Palatino Linotype" w:cs="Arial"/>
          <w:sz w:val="24"/>
          <w:szCs w:val="24"/>
        </w:rPr>
        <w:t>realizar una búsqueda y al no poder real</w:t>
      </w:r>
      <w:r w:rsidR="00165703">
        <w:rPr>
          <w:rFonts w:ascii="Palatino Linotype" w:hAnsi="Palatino Linotype" w:cs="Arial"/>
          <w:sz w:val="24"/>
          <w:szCs w:val="24"/>
        </w:rPr>
        <w:t xml:space="preserve">izar la consulta se inconforma al no ser </w:t>
      </w:r>
      <w:r w:rsidR="00336BC3">
        <w:rPr>
          <w:rFonts w:ascii="Palatino Linotype" w:hAnsi="Palatino Linotype" w:cs="Arial"/>
          <w:sz w:val="24"/>
          <w:szCs w:val="24"/>
        </w:rPr>
        <w:t>atendido el derecho de acceso a la información de</w:t>
      </w:r>
      <w:r w:rsidR="00AC37F9">
        <w:rPr>
          <w:rFonts w:ascii="Palatino Linotype" w:hAnsi="Palatino Linotype" w:cs="Arial"/>
          <w:sz w:val="24"/>
          <w:szCs w:val="24"/>
        </w:rPr>
        <w:t>l</w:t>
      </w:r>
      <w:r w:rsidR="00336BC3">
        <w:rPr>
          <w:rFonts w:ascii="Palatino Linotype" w:hAnsi="Palatino Linotype" w:cs="Arial"/>
          <w:sz w:val="24"/>
          <w:szCs w:val="24"/>
        </w:rPr>
        <w:t xml:space="preserve"> particular.  </w:t>
      </w:r>
    </w:p>
    <w:p w:rsidR="00A143D1" w:rsidRPr="0036287F" w:rsidRDefault="00A143D1" w:rsidP="0036287F">
      <w:pPr>
        <w:pStyle w:val="Prrafodelista"/>
        <w:spacing w:before="240" w:after="240" w:line="360" w:lineRule="auto"/>
        <w:ind w:left="0"/>
        <w:jc w:val="both"/>
        <w:rPr>
          <w:rFonts w:ascii="Palatino Linotype" w:hAnsi="Palatino Linotype" w:cs="Arial"/>
          <w:sz w:val="24"/>
          <w:szCs w:val="24"/>
        </w:rPr>
      </w:pPr>
    </w:p>
    <w:p w:rsidR="00625340" w:rsidRDefault="00625340" w:rsidP="00625340">
      <w:pPr>
        <w:pStyle w:val="Prrafodelista"/>
        <w:numPr>
          <w:ilvl w:val="0"/>
          <w:numId w:val="11"/>
        </w:numPr>
        <w:spacing w:before="240" w:after="240" w:line="360" w:lineRule="auto"/>
        <w:ind w:left="0"/>
        <w:jc w:val="both"/>
        <w:rPr>
          <w:rFonts w:ascii="Palatino Linotype" w:hAnsi="Palatino Linotype" w:cs="Arial"/>
          <w:sz w:val="24"/>
          <w:szCs w:val="24"/>
        </w:rPr>
      </w:pPr>
      <w:r w:rsidRPr="001C3008">
        <w:rPr>
          <w:rFonts w:ascii="Palatino Linotype" w:hAnsi="Palatino Linotype" w:cs="Arial"/>
          <w:sz w:val="24"/>
          <w:szCs w:val="24"/>
        </w:rPr>
        <w:t>Por tal motivo y e</w:t>
      </w:r>
      <w:r w:rsidR="006F18A4">
        <w:rPr>
          <w:rFonts w:ascii="Palatino Linotype" w:hAnsi="Palatino Linotype" w:cs="Arial"/>
          <w:sz w:val="24"/>
          <w:szCs w:val="24"/>
        </w:rPr>
        <w:t>n términos de lo señalado por el</w:t>
      </w:r>
      <w:r>
        <w:rPr>
          <w:rFonts w:ascii="Palatino Linotype" w:hAnsi="Palatino Linotype" w:cs="Arial"/>
          <w:sz w:val="24"/>
          <w:szCs w:val="24"/>
        </w:rPr>
        <w:t xml:space="preserve"> artículo </w:t>
      </w:r>
      <w:r w:rsidR="006F18A4">
        <w:rPr>
          <w:rFonts w:ascii="Palatino Linotype" w:hAnsi="Palatino Linotype" w:cs="Arial"/>
          <w:sz w:val="24"/>
          <w:szCs w:val="24"/>
        </w:rPr>
        <w:t>14</w:t>
      </w:r>
      <w:r>
        <w:rPr>
          <w:rFonts w:ascii="Palatino Linotype" w:hAnsi="Palatino Linotype" w:cs="Arial"/>
          <w:sz w:val="24"/>
          <w:szCs w:val="24"/>
        </w:rPr>
        <w:t xml:space="preserve"> </w:t>
      </w:r>
      <w:r w:rsidRPr="001C3008">
        <w:rPr>
          <w:rFonts w:ascii="Palatino Linotype" w:hAnsi="Palatino Linotype" w:cs="Arial"/>
          <w:sz w:val="24"/>
          <w:szCs w:val="24"/>
        </w:rPr>
        <w:t>fracción X</w:t>
      </w:r>
      <w:r w:rsidR="00F313D4">
        <w:rPr>
          <w:rFonts w:ascii="Palatino Linotype" w:hAnsi="Palatino Linotype" w:cs="Arial"/>
          <w:sz w:val="24"/>
          <w:szCs w:val="24"/>
        </w:rPr>
        <w:t>I</w:t>
      </w:r>
      <w:r w:rsidRPr="001C3008">
        <w:rPr>
          <w:rFonts w:ascii="Palatino Linotype" w:hAnsi="Palatino Linotype" w:cs="Arial"/>
          <w:sz w:val="24"/>
          <w:szCs w:val="24"/>
        </w:rPr>
        <w:t xml:space="preserve"> del Reglamento Interior del Instituto de Transparencia y Acceso a la Información Pública del Estado de México y Municipios formulo la presente</w:t>
      </w:r>
      <w:r w:rsidR="00703F02">
        <w:rPr>
          <w:rFonts w:ascii="Palatino Linotype" w:hAnsi="Palatino Linotype" w:cs="Arial"/>
          <w:sz w:val="24"/>
          <w:szCs w:val="24"/>
        </w:rPr>
        <w:t xml:space="preserve"> </w:t>
      </w:r>
      <w:r w:rsidR="00C02AF0">
        <w:rPr>
          <w:rFonts w:ascii="Palatino Linotype" w:hAnsi="Palatino Linotype" w:cs="Arial"/>
          <w:sz w:val="24"/>
          <w:szCs w:val="24"/>
        </w:rPr>
        <w:t>voto</w:t>
      </w:r>
      <w:r>
        <w:rPr>
          <w:rFonts w:ascii="Palatino Linotype" w:hAnsi="Palatino Linotype" w:cs="Arial"/>
          <w:sz w:val="24"/>
          <w:szCs w:val="24"/>
        </w:rPr>
        <w:t xml:space="preserve"> </w:t>
      </w:r>
      <w:r w:rsidRPr="001C3008">
        <w:rPr>
          <w:rFonts w:ascii="Palatino Linotype" w:hAnsi="Palatino Linotype" w:cs="Arial"/>
          <w:sz w:val="24"/>
          <w:szCs w:val="24"/>
        </w:rPr>
        <w:t xml:space="preserve">particular. </w:t>
      </w:r>
    </w:p>
    <w:p w:rsidR="00165703" w:rsidRPr="00165703" w:rsidRDefault="00165703" w:rsidP="00165703">
      <w:pPr>
        <w:pStyle w:val="Prrafodelista"/>
        <w:rPr>
          <w:rFonts w:ascii="Palatino Linotype" w:hAnsi="Palatino Linotype" w:cs="Arial"/>
          <w:sz w:val="24"/>
          <w:szCs w:val="24"/>
        </w:rPr>
      </w:pPr>
    </w:p>
    <w:p w:rsidR="00625340" w:rsidRPr="001C3008" w:rsidRDefault="00625340" w:rsidP="00625340">
      <w:pPr>
        <w:pStyle w:val="Ttulo1"/>
      </w:pPr>
      <w:bookmarkStart w:id="2" w:name="_Toc473892911"/>
      <w:r>
        <w:t xml:space="preserve">II.  </w:t>
      </w:r>
      <w:r w:rsidR="00611AB9">
        <w:t>Del Procedimiento de Acceso a la Información Pública</w:t>
      </w:r>
      <w:r w:rsidRPr="001C3008">
        <w:t>.</w:t>
      </w:r>
      <w:bookmarkEnd w:id="2"/>
    </w:p>
    <w:p w:rsidR="00625340" w:rsidRPr="001C3008" w:rsidRDefault="00625340" w:rsidP="00625340">
      <w:pPr>
        <w:pStyle w:val="Prrafodelista"/>
        <w:spacing w:after="0" w:line="360" w:lineRule="auto"/>
        <w:ind w:left="1080"/>
        <w:jc w:val="both"/>
        <w:rPr>
          <w:rFonts w:ascii="Palatino Linotype" w:hAnsi="Palatino Linotype" w:cs="Arial"/>
          <w:b/>
          <w:sz w:val="24"/>
          <w:szCs w:val="24"/>
        </w:rPr>
      </w:pPr>
    </w:p>
    <w:p w:rsidR="009F7309" w:rsidRDefault="009F7309" w:rsidP="009F7309">
      <w:pPr>
        <w:pStyle w:val="Prrafodelista"/>
        <w:numPr>
          <w:ilvl w:val="0"/>
          <w:numId w:val="11"/>
        </w:numPr>
        <w:spacing w:before="240" w:after="240" w:line="360" w:lineRule="auto"/>
        <w:ind w:left="0"/>
        <w:jc w:val="both"/>
        <w:rPr>
          <w:rFonts w:ascii="Palatino Linotype" w:hAnsi="Palatino Linotype" w:cs="Arial"/>
          <w:sz w:val="24"/>
          <w:szCs w:val="24"/>
        </w:rPr>
      </w:pPr>
      <w:r>
        <w:rPr>
          <w:rFonts w:ascii="Palatino Linotype" w:hAnsi="Palatino Linotype" w:cs="Arial"/>
          <w:sz w:val="24"/>
          <w:szCs w:val="24"/>
        </w:rPr>
        <w:t xml:space="preserve">En primer lugar, todo </w:t>
      </w:r>
      <w:r>
        <w:rPr>
          <w:rFonts w:ascii="Palatino Linotype" w:hAnsi="Palatino Linotype" w:cs="Arial"/>
          <w:b/>
          <w:sz w:val="24"/>
          <w:szCs w:val="24"/>
        </w:rPr>
        <w:t xml:space="preserve">SUJETO OBLIGADO, </w:t>
      </w:r>
      <w:r>
        <w:rPr>
          <w:rFonts w:ascii="Palatino Linotype" w:hAnsi="Palatino Linotype" w:cs="Arial"/>
          <w:sz w:val="24"/>
          <w:szCs w:val="24"/>
        </w:rPr>
        <w:t xml:space="preserve">debe tener presente que la </w:t>
      </w:r>
      <w:r>
        <w:rPr>
          <w:rFonts w:ascii="Palatino Linotype" w:hAnsi="Palatino Linotype" w:cs="Arial"/>
          <w:b/>
          <w:sz w:val="24"/>
          <w:szCs w:val="24"/>
        </w:rPr>
        <w:t xml:space="preserve">Ley de Transparencia </w:t>
      </w:r>
      <w:r w:rsidRPr="009F7309">
        <w:rPr>
          <w:rFonts w:ascii="Palatino Linotype" w:hAnsi="Palatino Linotype" w:cs="Arial"/>
          <w:b/>
          <w:sz w:val="24"/>
          <w:szCs w:val="24"/>
        </w:rPr>
        <w:t>y Acceso a la Información Pública del Estado de México y Municipios</w:t>
      </w:r>
      <w:r>
        <w:rPr>
          <w:rFonts w:ascii="Palatino Linotype" w:hAnsi="Palatino Linotype" w:cs="Arial"/>
          <w:b/>
          <w:sz w:val="24"/>
          <w:szCs w:val="24"/>
        </w:rPr>
        <w:t xml:space="preserve">, </w:t>
      </w:r>
      <w:r>
        <w:rPr>
          <w:rFonts w:ascii="Palatino Linotype" w:hAnsi="Palatino Linotype" w:cs="Arial"/>
          <w:sz w:val="24"/>
          <w:szCs w:val="24"/>
        </w:rPr>
        <w:t xml:space="preserve">establece principios, bases generales y procedimientos para tutelar y garantizar la transparencia y el derecho humano de acceso a la información pública que generan, administran o poseen, y asimismo establece que todo procedimiento en materia de acceso a la información deberá sustanciares de manera sencilla </w:t>
      </w:r>
      <w:r w:rsidR="009E399F">
        <w:rPr>
          <w:rFonts w:ascii="Palatino Linotype" w:hAnsi="Palatino Linotype" w:cs="Arial"/>
          <w:sz w:val="24"/>
          <w:szCs w:val="24"/>
        </w:rPr>
        <w:t>y expedita propiciando l</w:t>
      </w:r>
      <w:r w:rsidR="00E661C7">
        <w:rPr>
          <w:rFonts w:ascii="Palatino Linotype" w:hAnsi="Palatino Linotype" w:cs="Arial"/>
          <w:sz w:val="24"/>
          <w:szCs w:val="24"/>
        </w:rPr>
        <w:t xml:space="preserve">as condiciones para el acceso, entrega y publicación de información. </w:t>
      </w:r>
    </w:p>
    <w:p w:rsidR="00E661C7" w:rsidRDefault="00E661C7" w:rsidP="00E661C7">
      <w:pPr>
        <w:pStyle w:val="Prrafodelista"/>
        <w:spacing w:before="240" w:after="240" w:line="360" w:lineRule="auto"/>
        <w:ind w:left="0"/>
        <w:jc w:val="both"/>
        <w:rPr>
          <w:rFonts w:ascii="Palatino Linotype" w:hAnsi="Palatino Linotype" w:cs="Arial"/>
          <w:sz w:val="24"/>
          <w:szCs w:val="24"/>
        </w:rPr>
      </w:pPr>
    </w:p>
    <w:p w:rsidR="00284349" w:rsidRDefault="00E661C7" w:rsidP="00165703">
      <w:pPr>
        <w:pStyle w:val="Prrafodelista"/>
        <w:numPr>
          <w:ilvl w:val="0"/>
          <w:numId w:val="11"/>
        </w:numPr>
        <w:spacing w:before="240" w:after="240" w:line="360" w:lineRule="auto"/>
        <w:ind w:left="0"/>
        <w:jc w:val="both"/>
        <w:rPr>
          <w:rFonts w:ascii="Palatino Linotype" w:hAnsi="Palatino Linotype" w:cs="Arial"/>
          <w:sz w:val="24"/>
          <w:szCs w:val="24"/>
        </w:rPr>
      </w:pPr>
      <w:r w:rsidRPr="00815B5D">
        <w:rPr>
          <w:rFonts w:ascii="Palatino Linotype" w:hAnsi="Palatino Linotype" w:cs="Arial"/>
          <w:sz w:val="24"/>
          <w:szCs w:val="24"/>
        </w:rPr>
        <w:lastRenderedPageBreak/>
        <w:t>E</w:t>
      </w:r>
      <w:r w:rsidR="00284349" w:rsidRPr="00815B5D">
        <w:rPr>
          <w:rFonts w:ascii="Palatino Linotype" w:hAnsi="Palatino Linotype" w:cs="Arial"/>
          <w:sz w:val="24"/>
          <w:szCs w:val="24"/>
        </w:rPr>
        <w:t>s de señalar que</w:t>
      </w:r>
      <w:r w:rsidR="002376B4" w:rsidRPr="00815B5D">
        <w:rPr>
          <w:rFonts w:ascii="Palatino Linotype" w:hAnsi="Palatino Linotype" w:cs="Arial"/>
          <w:sz w:val="24"/>
          <w:szCs w:val="24"/>
        </w:rPr>
        <w:t xml:space="preserve"> </w:t>
      </w:r>
      <w:r w:rsidR="00EE064C">
        <w:rPr>
          <w:rFonts w:ascii="Palatino Linotype" w:hAnsi="Palatino Linotype"/>
          <w:sz w:val="24"/>
          <w:szCs w:val="24"/>
          <w:lang w:val="es-ES_tradnl"/>
        </w:rPr>
        <w:t>la solicitante</w:t>
      </w:r>
      <w:r w:rsidR="00284349" w:rsidRPr="00815B5D">
        <w:rPr>
          <w:rFonts w:ascii="Palatino Linotype" w:hAnsi="Palatino Linotype" w:cs="Arial"/>
          <w:sz w:val="24"/>
          <w:szCs w:val="24"/>
        </w:rPr>
        <w:t xml:space="preserve"> </w:t>
      </w:r>
      <w:r w:rsidR="002376B4" w:rsidRPr="00815B5D">
        <w:rPr>
          <w:rFonts w:ascii="Palatino Linotype" w:hAnsi="Palatino Linotype" w:cs="Arial"/>
          <w:sz w:val="24"/>
          <w:szCs w:val="24"/>
        </w:rPr>
        <w:t xml:space="preserve"> requirió </w:t>
      </w:r>
      <w:r w:rsidR="00165703">
        <w:rPr>
          <w:rFonts w:ascii="Palatino Linotype" w:hAnsi="Palatino Linotype" w:cs="Arial"/>
          <w:sz w:val="24"/>
          <w:szCs w:val="24"/>
        </w:rPr>
        <w:t xml:space="preserve">a la </w:t>
      </w:r>
      <w:r w:rsidR="00165703">
        <w:rPr>
          <w:rFonts w:ascii="Palatino Linotype" w:hAnsi="Palatino Linotype" w:cs="Arial"/>
          <w:b/>
          <w:sz w:val="24"/>
          <w:szCs w:val="24"/>
        </w:rPr>
        <w:t>Secretaría de Finanzas</w:t>
      </w:r>
      <w:r w:rsidR="00AD01CF">
        <w:rPr>
          <w:rFonts w:ascii="Palatino Linotype" w:hAnsi="Palatino Linotype" w:cs="Arial"/>
          <w:b/>
          <w:sz w:val="24"/>
          <w:szCs w:val="24"/>
        </w:rPr>
        <w:t xml:space="preserve"> </w:t>
      </w:r>
      <w:r w:rsidR="00815B5D" w:rsidRPr="00815B5D">
        <w:rPr>
          <w:rFonts w:ascii="Palatino Linotype" w:hAnsi="Palatino Linotype" w:cs="Arial"/>
          <w:i/>
          <w:sz w:val="24"/>
          <w:szCs w:val="24"/>
        </w:rPr>
        <w:t>“</w:t>
      </w:r>
      <w:r w:rsidR="00AD01CF">
        <w:rPr>
          <w:rFonts w:ascii="Palatino Linotype" w:hAnsi="Palatino Linotype" w:cs="Arial"/>
          <w:i/>
          <w:sz w:val="24"/>
          <w:szCs w:val="24"/>
        </w:rPr>
        <w:t>…</w:t>
      </w:r>
      <w:r w:rsidR="00165703" w:rsidRPr="00165703">
        <w:rPr>
          <w:rFonts w:ascii="Palatino Linotype" w:hAnsi="Palatino Linotype" w:cs="Arial"/>
          <w:i/>
          <w:sz w:val="24"/>
          <w:szCs w:val="24"/>
        </w:rPr>
        <w:t xml:space="preserve">en atención a respuesta otorgada </w:t>
      </w:r>
      <w:proofErr w:type="spellStart"/>
      <w:r w:rsidR="00165703" w:rsidRPr="00165703">
        <w:rPr>
          <w:rFonts w:ascii="Palatino Linotype" w:hAnsi="Palatino Linotype" w:cs="Arial"/>
          <w:i/>
          <w:sz w:val="24"/>
          <w:szCs w:val="24"/>
        </w:rPr>
        <w:t>via</w:t>
      </w:r>
      <w:proofErr w:type="spellEnd"/>
      <w:r w:rsidR="00165703" w:rsidRPr="00165703">
        <w:rPr>
          <w:rFonts w:ascii="Palatino Linotype" w:hAnsi="Palatino Linotype" w:cs="Arial"/>
          <w:i/>
          <w:sz w:val="24"/>
          <w:szCs w:val="24"/>
        </w:rPr>
        <w:t xml:space="preserve"> la PNT e informaron que todas sus </w:t>
      </w:r>
      <w:proofErr w:type="gramStart"/>
      <w:r w:rsidR="00165703" w:rsidRPr="00165703">
        <w:rPr>
          <w:rFonts w:ascii="Palatino Linotype" w:hAnsi="Palatino Linotype" w:cs="Arial"/>
          <w:i/>
          <w:sz w:val="24"/>
          <w:szCs w:val="24"/>
        </w:rPr>
        <w:t>licitaciones ,</w:t>
      </w:r>
      <w:proofErr w:type="gramEnd"/>
      <w:r w:rsidR="00165703" w:rsidRPr="00165703">
        <w:rPr>
          <w:rFonts w:ascii="Palatino Linotype" w:hAnsi="Palatino Linotype" w:cs="Arial"/>
          <w:i/>
          <w:sz w:val="24"/>
          <w:szCs w:val="24"/>
        </w:rPr>
        <w:t xml:space="preserve"> contrataciones y estudios de mercado están con toda transparencia en el portal y eso no es cierto como se ve en el </w:t>
      </w:r>
      <w:proofErr w:type="spellStart"/>
      <w:r w:rsidR="00165703" w:rsidRPr="00165703">
        <w:rPr>
          <w:rFonts w:ascii="Palatino Linotype" w:hAnsi="Palatino Linotype" w:cs="Arial"/>
          <w:i/>
          <w:sz w:val="24"/>
          <w:szCs w:val="24"/>
        </w:rPr>
        <w:t>doc</w:t>
      </w:r>
      <w:proofErr w:type="spellEnd"/>
      <w:r w:rsidR="00165703" w:rsidRPr="00165703">
        <w:rPr>
          <w:rFonts w:ascii="Palatino Linotype" w:hAnsi="Palatino Linotype" w:cs="Arial"/>
          <w:i/>
          <w:sz w:val="24"/>
          <w:szCs w:val="24"/>
        </w:rPr>
        <w:t xml:space="preserve"> adjunto, se les solicita eso de los últimos 5 años , por numero consecutivo y fecha / licitaciones, invitaciones y adjudicaciones directas con sus estudios de mercado con </w:t>
      </w:r>
      <w:proofErr w:type="spellStart"/>
      <w:r w:rsidR="00165703" w:rsidRPr="00165703">
        <w:rPr>
          <w:rFonts w:ascii="Palatino Linotype" w:hAnsi="Palatino Linotype" w:cs="Arial"/>
          <w:i/>
          <w:sz w:val="24"/>
          <w:szCs w:val="24"/>
        </w:rPr>
        <w:t>maxima</w:t>
      </w:r>
      <w:proofErr w:type="spellEnd"/>
      <w:r w:rsidR="00165703" w:rsidRPr="00165703">
        <w:rPr>
          <w:rFonts w:ascii="Palatino Linotype" w:hAnsi="Palatino Linotype" w:cs="Arial"/>
          <w:i/>
          <w:sz w:val="24"/>
          <w:szCs w:val="24"/>
        </w:rPr>
        <w:t xml:space="preserve"> publicidad</w:t>
      </w:r>
      <w:r w:rsidR="00AD01CF" w:rsidRPr="00AD01CF">
        <w:rPr>
          <w:rFonts w:ascii="Palatino Linotype" w:hAnsi="Palatino Linotype" w:cs="Arial"/>
          <w:i/>
          <w:sz w:val="24"/>
          <w:szCs w:val="24"/>
        </w:rPr>
        <w:t xml:space="preserve">.” </w:t>
      </w:r>
    </w:p>
    <w:p w:rsidR="008A491D" w:rsidRPr="008A491D" w:rsidRDefault="008A491D" w:rsidP="008A491D">
      <w:pPr>
        <w:pStyle w:val="Prrafodelista"/>
        <w:rPr>
          <w:rFonts w:ascii="Palatino Linotype" w:hAnsi="Palatino Linotype" w:cs="Arial"/>
          <w:sz w:val="24"/>
          <w:szCs w:val="24"/>
        </w:rPr>
      </w:pPr>
    </w:p>
    <w:p w:rsidR="00E661C7" w:rsidRDefault="008A491D" w:rsidP="00005556">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En este sentido es importante h</w:t>
      </w:r>
      <w:r w:rsidR="00260A10">
        <w:rPr>
          <w:rFonts w:ascii="Palatino Linotype" w:hAnsi="Palatino Linotype" w:cs="Arial"/>
          <w:sz w:val="24"/>
          <w:szCs w:val="24"/>
        </w:rPr>
        <w:t>acer referencia a lo dispuesto</w:t>
      </w:r>
      <w:r>
        <w:rPr>
          <w:rFonts w:ascii="Palatino Linotype" w:hAnsi="Palatino Linotype" w:cs="Arial"/>
          <w:sz w:val="24"/>
          <w:szCs w:val="24"/>
        </w:rPr>
        <w:t xml:space="preserve"> en el artículo </w:t>
      </w:r>
      <w:r w:rsidR="00260A10">
        <w:rPr>
          <w:rFonts w:ascii="Palatino Linotype" w:hAnsi="Palatino Linotype" w:cs="Arial"/>
          <w:sz w:val="24"/>
          <w:szCs w:val="24"/>
        </w:rPr>
        <w:t xml:space="preserve">161 de la Ley de Transparencia y Acceso a la Información Pública del Estado de México y Municipios que a en su texto literal </w:t>
      </w:r>
      <w:r w:rsidR="00AD01CF">
        <w:rPr>
          <w:rFonts w:ascii="Palatino Linotype" w:hAnsi="Palatino Linotype" w:cs="Arial"/>
          <w:sz w:val="24"/>
          <w:szCs w:val="24"/>
        </w:rPr>
        <w:t>señala</w:t>
      </w:r>
      <w:r w:rsidR="00260A10">
        <w:rPr>
          <w:rFonts w:ascii="Palatino Linotype" w:hAnsi="Palatino Linotype" w:cs="Arial"/>
          <w:sz w:val="24"/>
          <w:szCs w:val="24"/>
        </w:rPr>
        <w:t xml:space="preserve">: </w:t>
      </w:r>
    </w:p>
    <w:p w:rsidR="00260A10" w:rsidRPr="00260A10" w:rsidRDefault="00260A10" w:rsidP="00260A10">
      <w:pPr>
        <w:pStyle w:val="Prrafodelista"/>
        <w:rPr>
          <w:rFonts w:ascii="Palatino Linotype" w:hAnsi="Palatino Linotype" w:cs="Arial"/>
          <w:sz w:val="24"/>
          <w:szCs w:val="24"/>
        </w:rPr>
      </w:pPr>
    </w:p>
    <w:p w:rsidR="00260A10" w:rsidRPr="00260A10" w:rsidRDefault="00260A10" w:rsidP="00260A10">
      <w:pPr>
        <w:pStyle w:val="Prrafodelista"/>
        <w:spacing w:after="0" w:line="360" w:lineRule="auto"/>
        <w:ind w:left="851" w:right="616"/>
        <w:jc w:val="both"/>
        <w:rPr>
          <w:rFonts w:ascii="Palatino Linotype" w:hAnsi="Palatino Linotype" w:cs="Arial"/>
          <w:i/>
        </w:rPr>
      </w:pPr>
      <w:r w:rsidRPr="00260A10">
        <w:rPr>
          <w:rFonts w:ascii="Palatino Linotype" w:hAnsi="Palatino Linotype" w:cs="Arial"/>
          <w:b/>
          <w:i/>
        </w:rPr>
        <w:t xml:space="preserve">“Artículo 161. </w:t>
      </w:r>
      <w:r w:rsidRPr="00260A10">
        <w:rPr>
          <w:rFonts w:ascii="Palatino Linotype" w:hAnsi="Palatino Linotype" w:cs="Arial"/>
          <w:i/>
        </w:rPr>
        <w:t xml:space="preserve">Cuando la información requerida por el solicitante ya esté disponible al público en medios impresos, tales como libros, compendios, trípticos, registros públicos, en formatos electrónicos disponibles en internet o en cualquier otro medio, se hará saber por el medio requerido por el solicitante </w:t>
      </w:r>
      <w:r w:rsidRPr="00260A10">
        <w:rPr>
          <w:rFonts w:ascii="Palatino Linotype" w:hAnsi="Palatino Linotype" w:cs="Arial"/>
          <w:b/>
          <w:i/>
        </w:rPr>
        <w:t>la fuente, el lugar y la forma en que puede consultar, reproducir o adquirir dicha información</w:t>
      </w:r>
      <w:r w:rsidRPr="00260A10">
        <w:rPr>
          <w:rFonts w:ascii="Palatino Linotype" w:hAnsi="Palatino Linotype" w:cs="Arial"/>
          <w:i/>
        </w:rPr>
        <w:t xml:space="preserve"> en un plazo no mayor a cinco días hábiles. La fuente deberá ser precisa y concreta y no debe implicar que el solicitante realice una búsqueda en toda la información que se encuentre disponible.” </w:t>
      </w:r>
    </w:p>
    <w:p w:rsidR="00E661C7" w:rsidRPr="00E661C7" w:rsidRDefault="00E661C7" w:rsidP="00E661C7">
      <w:pPr>
        <w:pStyle w:val="Prrafodelista"/>
        <w:rPr>
          <w:rFonts w:ascii="Palatino Linotype" w:hAnsi="Palatino Linotype" w:cs="Arial"/>
          <w:sz w:val="24"/>
          <w:szCs w:val="24"/>
        </w:rPr>
      </w:pPr>
    </w:p>
    <w:p w:rsidR="00E661C7" w:rsidRPr="00E661C7" w:rsidRDefault="00E661C7" w:rsidP="00E661C7">
      <w:pPr>
        <w:pStyle w:val="Prrafodelista"/>
        <w:rPr>
          <w:rFonts w:ascii="Palatino Linotype" w:hAnsi="Palatino Linotype" w:cs="Arial"/>
          <w:sz w:val="24"/>
          <w:szCs w:val="24"/>
        </w:rPr>
      </w:pPr>
    </w:p>
    <w:p w:rsidR="00DE456D" w:rsidRDefault="00260A10" w:rsidP="00260A10">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Del precepto</w:t>
      </w:r>
      <w:r w:rsidR="00E661C7" w:rsidRPr="00260A10">
        <w:rPr>
          <w:rFonts w:ascii="Palatino Linotype" w:hAnsi="Palatino Linotype" w:cs="Arial"/>
          <w:sz w:val="24"/>
          <w:szCs w:val="24"/>
        </w:rPr>
        <w:t xml:space="preserve"> jurídico</w:t>
      </w:r>
      <w:r>
        <w:rPr>
          <w:rFonts w:ascii="Palatino Linotype" w:hAnsi="Palatino Linotype" w:cs="Arial"/>
          <w:sz w:val="24"/>
          <w:szCs w:val="24"/>
        </w:rPr>
        <w:t xml:space="preserve"> citado</w:t>
      </w:r>
      <w:r w:rsidR="00E661C7" w:rsidRPr="00260A10">
        <w:rPr>
          <w:rFonts w:ascii="Palatino Linotype" w:hAnsi="Palatino Linotype" w:cs="Arial"/>
          <w:sz w:val="24"/>
          <w:szCs w:val="24"/>
        </w:rPr>
        <w:t xml:space="preserve">, se colige, que si bien </w:t>
      </w:r>
      <w:r w:rsidRPr="00260A10">
        <w:rPr>
          <w:rFonts w:ascii="Palatino Linotype" w:hAnsi="Palatino Linotype" w:cs="Arial"/>
          <w:sz w:val="24"/>
          <w:szCs w:val="24"/>
        </w:rPr>
        <w:t xml:space="preserve">cabe la posibilidad de entregar la información mediante la referencia de un sitio electrónico aun y cuando se haya </w:t>
      </w:r>
      <w:r w:rsidRPr="00260A10">
        <w:rPr>
          <w:rFonts w:ascii="Palatino Linotype" w:hAnsi="Palatino Linotype" w:cs="Arial"/>
          <w:sz w:val="24"/>
          <w:szCs w:val="24"/>
        </w:rPr>
        <w:lastRenderedPageBreak/>
        <w:t xml:space="preserve">solicitado vía SAIMEX el </w:t>
      </w:r>
      <w:r w:rsidRPr="00260A10">
        <w:rPr>
          <w:rFonts w:ascii="Palatino Linotype" w:hAnsi="Palatino Linotype" w:cs="Arial"/>
          <w:b/>
          <w:sz w:val="24"/>
          <w:szCs w:val="24"/>
        </w:rPr>
        <w:t>SUJETO OBLIGADO</w:t>
      </w:r>
      <w:r w:rsidRPr="00260A10">
        <w:rPr>
          <w:rFonts w:ascii="Palatino Linotype" w:hAnsi="Palatino Linotype" w:cs="Arial"/>
          <w:sz w:val="24"/>
          <w:szCs w:val="24"/>
        </w:rPr>
        <w:t xml:space="preserve"> debe cumplir con lo estipulado en la disposición legal citada. </w:t>
      </w:r>
    </w:p>
    <w:p w:rsidR="00B75E0A" w:rsidRDefault="00B75E0A" w:rsidP="00B75E0A">
      <w:pPr>
        <w:pStyle w:val="Prrafodelista"/>
        <w:spacing w:after="0" w:line="360" w:lineRule="auto"/>
        <w:ind w:left="0"/>
        <w:jc w:val="both"/>
        <w:rPr>
          <w:rFonts w:ascii="Palatino Linotype" w:hAnsi="Palatino Linotype" w:cs="Arial"/>
          <w:sz w:val="24"/>
          <w:szCs w:val="24"/>
        </w:rPr>
      </w:pPr>
    </w:p>
    <w:p w:rsidR="00B75E0A" w:rsidRPr="00260A10" w:rsidRDefault="00B75E0A" w:rsidP="00260A10">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 xml:space="preserve">Si bien es cierto este artículo busca garantizar el acceso a la información del solicitante toda vez que obliga al </w:t>
      </w:r>
      <w:r>
        <w:rPr>
          <w:rFonts w:ascii="Palatino Linotype" w:hAnsi="Palatino Linotype" w:cs="Arial"/>
          <w:b/>
          <w:sz w:val="24"/>
          <w:szCs w:val="24"/>
        </w:rPr>
        <w:t xml:space="preserve">SUJETO OBLIGADO </w:t>
      </w:r>
      <w:r>
        <w:rPr>
          <w:rFonts w:ascii="Palatino Linotype" w:hAnsi="Palatino Linotype" w:cs="Arial"/>
          <w:sz w:val="24"/>
          <w:szCs w:val="24"/>
        </w:rPr>
        <w:t>a informar dentro de un periodo no mayor a cinco días</w:t>
      </w:r>
      <w:r w:rsidR="00AC6B6E">
        <w:rPr>
          <w:rFonts w:ascii="Palatino Linotype" w:hAnsi="Palatino Linotype" w:cs="Arial"/>
          <w:sz w:val="24"/>
          <w:szCs w:val="24"/>
        </w:rPr>
        <w:t xml:space="preserve">, plazo al cual de acuerdo a las constancias que obran en el Sistema de Acceso a la Información Mexiquense (SAIMEX), no fue observado, </w:t>
      </w:r>
      <w:r w:rsidR="00C13F42">
        <w:rPr>
          <w:rFonts w:ascii="Palatino Linotype" w:hAnsi="Palatino Linotype" w:cs="Arial"/>
          <w:sz w:val="24"/>
          <w:szCs w:val="24"/>
        </w:rPr>
        <w:t xml:space="preserve">  también lo es que la</w:t>
      </w:r>
      <w:r>
        <w:rPr>
          <w:rFonts w:ascii="Palatino Linotype" w:hAnsi="Palatino Linotype" w:cs="Arial"/>
          <w:sz w:val="24"/>
          <w:szCs w:val="24"/>
        </w:rPr>
        <w:t xml:space="preserve"> </w:t>
      </w:r>
      <w:r w:rsidR="00C13F42">
        <w:rPr>
          <w:rFonts w:ascii="Palatino Linotype" w:hAnsi="Palatino Linotype" w:cs="Arial"/>
          <w:b/>
          <w:sz w:val="24"/>
          <w:szCs w:val="24"/>
        </w:rPr>
        <w:t>Secretaría de Finanzas</w:t>
      </w:r>
      <w:r>
        <w:rPr>
          <w:rFonts w:ascii="Palatino Linotype" w:hAnsi="Palatino Linotype" w:cs="Arial"/>
          <w:b/>
          <w:sz w:val="24"/>
          <w:szCs w:val="24"/>
        </w:rPr>
        <w:t xml:space="preserve"> </w:t>
      </w:r>
      <w:r>
        <w:rPr>
          <w:rFonts w:ascii="Palatino Linotype" w:hAnsi="Palatino Linotype" w:cs="Arial"/>
          <w:sz w:val="24"/>
          <w:szCs w:val="24"/>
        </w:rPr>
        <w:t>tiene la obligación de señalar de forma clara y precisa, paso a paso la forma en que se puede consultar la información, que no implique una búsqueda para el particular y que pueda traer como consecuencia no localizar la información, causando una afectación al derecho de acceso a la información p</w:t>
      </w:r>
      <w:r w:rsidR="00AC6B6E">
        <w:rPr>
          <w:rFonts w:ascii="Palatino Linotype" w:hAnsi="Palatino Linotype" w:cs="Arial"/>
          <w:sz w:val="24"/>
          <w:szCs w:val="24"/>
        </w:rPr>
        <w:t>ública del solicitante</w:t>
      </w:r>
      <w:r>
        <w:rPr>
          <w:rFonts w:ascii="Palatino Linotype" w:hAnsi="Palatino Linotype" w:cs="Arial"/>
          <w:sz w:val="24"/>
          <w:szCs w:val="24"/>
        </w:rPr>
        <w:t xml:space="preserve">. </w:t>
      </w:r>
    </w:p>
    <w:p w:rsidR="00DE456D" w:rsidRPr="001C3008" w:rsidRDefault="00DE456D" w:rsidP="00DE456D">
      <w:pPr>
        <w:pStyle w:val="Ttulo1"/>
      </w:pPr>
      <w:r>
        <w:rPr>
          <w:rFonts w:cs="Arial"/>
          <w:szCs w:val="24"/>
        </w:rPr>
        <w:t xml:space="preserve"> </w:t>
      </w:r>
      <w:bookmarkStart w:id="3" w:name="_Toc473892912"/>
      <w:r>
        <w:t xml:space="preserve">III.  De la Suplencia </w:t>
      </w:r>
      <w:r w:rsidR="00DC35D1">
        <w:t>a la Respuesta e Informe Justificado del Sujeto Obligado</w:t>
      </w:r>
      <w:r w:rsidRPr="001C3008">
        <w:t>.</w:t>
      </w:r>
      <w:bookmarkEnd w:id="3"/>
    </w:p>
    <w:p w:rsidR="00E661C7" w:rsidRDefault="00E661C7" w:rsidP="00DE456D">
      <w:pPr>
        <w:pStyle w:val="Prrafodelista"/>
        <w:spacing w:after="0" w:line="360" w:lineRule="auto"/>
        <w:ind w:left="0"/>
        <w:jc w:val="both"/>
        <w:rPr>
          <w:rFonts w:ascii="Palatino Linotype" w:hAnsi="Palatino Linotype" w:cs="Arial"/>
          <w:sz w:val="24"/>
          <w:szCs w:val="24"/>
        </w:rPr>
      </w:pPr>
    </w:p>
    <w:p w:rsidR="00064D2B" w:rsidRDefault="00DE456D" w:rsidP="00064D2B">
      <w:pPr>
        <w:pStyle w:val="Prrafodelista"/>
        <w:numPr>
          <w:ilvl w:val="0"/>
          <w:numId w:val="11"/>
        </w:numPr>
        <w:spacing w:after="0" w:line="360" w:lineRule="auto"/>
        <w:ind w:left="0"/>
        <w:jc w:val="both"/>
        <w:rPr>
          <w:rFonts w:ascii="Palatino Linotype" w:hAnsi="Palatino Linotype" w:cs="Arial"/>
          <w:sz w:val="24"/>
          <w:szCs w:val="24"/>
        </w:rPr>
      </w:pPr>
      <w:r w:rsidRPr="00BB5AE2">
        <w:rPr>
          <w:rFonts w:ascii="Palatino Linotype" w:hAnsi="Palatino Linotype" w:cs="Arial"/>
          <w:sz w:val="24"/>
          <w:szCs w:val="24"/>
        </w:rPr>
        <w:t>Como es</w:t>
      </w:r>
      <w:r w:rsidR="00064D2B" w:rsidRPr="00BB5AE2">
        <w:rPr>
          <w:rFonts w:ascii="Palatino Linotype" w:hAnsi="Palatino Linotype" w:cs="Arial"/>
          <w:sz w:val="24"/>
          <w:szCs w:val="24"/>
        </w:rPr>
        <w:t xml:space="preserve"> de observarse, la respuesta a la solicitud de información del </w:t>
      </w:r>
      <w:r w:rsidR="00064D2B" w:rsidRPr="00BB5AE2">
        <w:rPr>
          <w:rFonts w:ascii="Palatino Linotype" w:hAnsi="Palatino Linotype" w:cs="Arial"/>
          <w:b/>
          <w:sz w:val="24"/>
          <w:szCs w:val="24"/>
        </w:rPr>
        <w:t xml:space="preserve">SUJETO OBLIGADO </w:t>
      </w:r>
      <w:r w:rsidR="0080411B" w:rsidRPr="00BB5AE2">
        <w:rPr>
          <w:rFonts w:ascii="Palatino Linotype" w:hAnsi="Palatino Linotype" w:cs="Arial"/>
          <w:sz w:val="24"/>
          <w:szCs w:val="24"/>
        </w:rPr>
        <w:t xml:space="preserve">refirió </w:t>
      </w:r>
      <w:r w:rsidR="00BB5AE2" w:rsidRPr="00BB5AE2">
        <w:rPr>
          <w:rFonts w:ascii="Palatino Linotype" w:hAnsi="Palatino Linotype" w:cs="Arial"/>
          <w:sz w:val="24"/>
          <w:szCs w:val="24"/>
        </w:rPr>
        <w:t xml:space="preserve"> que </w:t>
      </w:r>
      <w:r w:rsidR="00C13F42">
        <w:rPr>
          <w:rFonts w:ascii="Palatino Linotype" w:hAnsi="Palatino Linotype" w:cs="Arial"/>
          <w:sz w:val="24"/>
          <w:szCs w:val="24"/>
        </w:rPr>
        <w:t xml:space="preserve">las licitaciones y contrataciones </w:t>
      </w:r>
      <w:r w:rsidR="00BB5AE2" w:rsidRPr="00BB5AE2">
        <w:rPr>
          <w:rFonts w:ascii="Palatino Linotype" w:hAnsi="Palatino Linotype" w:cs="Arial"/>
          <w:sz w:val="24"/>
          <w:szCs w:val="24"/>
        </w:rPr>
        <w:t>se encuentra</w:t>
      </w:r>
      <w:r w:rsidR="00C13F42">
        <w:rPr>
          <w:rFonts w:ascii="Palatino Linotype" w:hAnsi="Palatino Linotype" w:cs="Arial"/>
          <w:sz w:val="24"/>
          <w:szCs w:val="24"/>
        </w:rPr>
        <w:t>n</w:t>
      </w:r>
      <w:r w:rsidR="00BB5AE2" w:rsidRPr="00BB5AE2">
        <w:rPr>
          <w:rFonts w:ascii="Palatino Linotype" w:hAnsi="Palatino Linotype" w:cs="Arial"/>
          <w:sz w:val="24"/>
          <w:szCs w:val="24"/>
        </w:rPr>
        <w:t xml:space="preserve"> publicado</w:t>
      </w:r>
      <w:r w:rsidR="00C13F42">
        <w:rPr>
          <w:rFonts w:ascii="Palatino Linotype" w:hAnsi="Palatino Linotype" w:cs="Arial"/>
          <w:sz w:val="24"/>
          <w:szCs w:val="24"/>
        </w:rPr>
        <w:t>s</w:t>
      </w:r>
      <w:r w:rsidR="00BB5AE2" w:rsidRPr="00BB5AE2">
        <w:rPr>
          <w:rFonts w:ascii="Palatino Linotype" w:hAnsi="Palatino Linotype" w:cs="Arial"/>
          <w:sz w:val="24"/>
          <w:szCs w:val="24"/>
        </w:rPr>
        <w:t xml:space="preserve"> </w:t>
      </w:r>
      <w:r w:rsidR="00C13F42">
        <w:rPr>
          <w:rFonts w:ascii="Palatino Linotype" w:hAnsi="Palatino Linotype" w:cs="Arial"/>
          <w:sz w:val="24"/>
          <w:szCs w:val="24"/>
        </w:rPr>
        <w:t xml:space="preserve"> en la página </w:t>
      </w:r>
      <w:hyperlink r:id="rId9" w:history="1">
        <w:r w:rsidR="00C13F42" w:rsidRPr="00C30702">
          <w:rPr>
            <w:rStyle w:val="Hipervnculo"/>
            <w:rFonts w:ascii="Palatino Linotype" w:hAnsi="Palatino Linotype" w:cs="Arial"/>
          </w:rPr>
          <w:t>http://www.ipomex.org.mx/ipo/lgt/indice/finanzas.web</w:t>
        </w:r>
      </w:hyperlink>
      <w:r w:rsidR="00C13F42">
        <w:rPr>
          <w:rFonts w:ascii="Palatino Linotype" w:hAnsi="Palatino Linotype" w:cs="Arial"/>
        </w:rPr>
        <w:t xml:space="preserve"> </w:t>
      </w:r>
      <w:r w:rsidR="00C13F42" w:rsidRPr="00D47F58">
        <w:rPr>
          <w:rFonts w:ascii="Palatino Linotype" w:hAnsi="Palatino Linotype" w:cs="Arial"/>
        </w:rPr>
        <w:t xml:space="preserve"> fracción XXIX A "Procesos de licitación y contratación"</w:t>
      </w:r>
      <w:r w:rsidR="00C13F42">
        <w:rPr>
          <w:rFonts w:ascii="Palatino Linotype" w:hAnsi="Palatino Linotype" w:cs="Arial"/>
        </w:rPr>
        <w:t xml:space="preserve"> </w:t>
      </w:r>
      <w:r w:rsidR="00C13F42">
        <w:rPr>
          <w:rFonts w:ascii="Palatino Linotype" w:hAnsi="Palatino Linotype" w:cs="Arial"/>
          <w:sz w:val="24"/>
          <w:szCs w:val="24"/>
        </w:rPr>
        <w:t xml:space="preserve">sin embargo, no fue posible acceder de manera directa a la documentación solicitada por el </w:t>
      </w:r>
      <w:r w:rsidR="0080411B" w:rsidRPr="00BB5AE2">
        <w:rPr>
          <w:rFonts w:ascii="Palatino Linotype" w:hAnsi="Palatino Linotype" w:cs="Arial"/>
          <w:b/>
          <w:sz w:val="24"/>
          <w:szCs w:val="24"/>
        </w:rPr>
        <w:t xml:space="preserve">RECURRENTE </w:t>
      </w:r>
      <w:r w:rsidR="00C13F42">
        <w:rPr>
          <w:rFonts w:ascii="Palatino Linotype" w:hAnsi="Palatino Linotype" w:cs="Arial"/>
          <w:sz w:val="24"/>
          <w:szCs w:val="24"/>
        </w:rPr>
        <w:t xml:space="preserve">implicando </w:t>
      </w:r>
      <w:r w:rsidR="00BB5AE2" w:rsidRPr="00BB5AE2">
        <w:rPr>
          <w:rFonts w:ascii="Palatino Linotype" w:hAnsi="Palatino Linotype" w:cs="Arial"/>
          <w:sz w:val="24"/>
          <w:szCs w:val="24"/>
        </w:rPr>
        <w:t>realizar</w:t>
      </w:r>
      <w:r w:rsidR="00C13F42">
        <w:rPr>
          <w:rFonts w:ascii="Palatino Linotype" w:hAnsi="Palatino Linotype" w:cs="Arial"/>
          <w:sz w:val="24"/>
          <w:szCs w:val="24"/>
        </w:rPr>
        <w:t xml:space="preserve"> una búsqueda, </w:t>
      </w:r>
      <w:r w:rsidR="00BB5AE2" w:rsidRPr="00BB5AE2">
        <w:rPr>
          <w:rFonts w:ascii="Palatino Linotype" w:hAnsi="Palatino Linotype" w:cs="Arial"/>
          <w:sz w:val="24"/>
          <w:szCs w:val="24"/>
        </w:rPr>
        <w:t xml:space="preserve"> </w:t>
      </w:r>
      <w:r w:rsidR="00C13F42">
        <w:rPr>
          <w:rFonts w:ascii="Palatino Linotype" w:hAnsi="Palatino Linotype" w:cs="Arial"/>
          <w:sz w:val="24"/>
          <w:szCs w:val="24"/>
        </w:rPr>
        <w:t xml:space="preserve">y en consecuencia, la interposición del presente recurso de revisión en el que el particular señaló como razones o motivos de inconformidad </w:t>
      </w:r>
      <w:r w:rsidR="00C13F42">
        <w:rPr>
          <w:rFonts w:ascii="Palatino Linotype" w:hAnsi="Palatino Linotype" w:cs="Arial"/>
          <w:i/>
          <w:sz w:val="24"/>
          <w:szCs w:val="24"/>
        </w:rPr>
        <w:t xml:space="preserve">“la incongruencia de la respuesta de la secretaría de finanzas”. </w:t>
      </w:r>
    </w:p>
    <w:p w:rsidR="00794169" w:rsidRDefault="00794169" w:rsidP="00794169">
      <w:pPr>
        <w:pStyle w:val="Prrafodelista"/>
        <w:spacing w:after="0" w:line="360" w:lineRule="auto"/>
        <w:ind w:left="0"/>
        <w:jc w:val="both"/>
        <w:rPr>
          <w:rFonts w:ascii="Palatino Linotype" w:hAnsi="Palatino Linotype" w:cs="Arial"/>
          <w:sz w:val="24"/>
          <w:szCs w:val="24"/>
        </w:rPr>
      </w:pPr>
    </w:p>
    <w:p w:rsidR="000D79A0" w:rsidRDefault="00C13F42" w:rsidP="00D17A77">
      <w:pPr>
        <w:pStyle w:val="Prrafodelista"/>
        <w:numPr>
          <w:ilvl w:val="0"/>
          <w:numId w:val="11"/>
        </w:numPr>
        <w:spacing w:after="0" w:line="360" w:lineRule="auto"/>
        <w:ind w:left="0"/>
        <w:jc w:val="both"/>
        <w:rPr>
          <w:rFonts w:ascii="Palatino Linotype" w:hAnsi="Palatino Linotype" w:cs="Arial"/>
          <w:sz w:val="24"/>
          <w:szCs w:val="24"/>
        </w:rPr>
      </w:pPr>
      <w:r>
        <w:rPr>
          <w:rFonts w:ascii="Palatino Linotype" w:hAnsi="Palatino Linotype" w:cs="Arial"/>
          <w:sz w:val="24"/>
          <w:szCs w:val="24"/>
        </w:rPr>
        <w:t>Así entonces</w:t>
      </w:r>
      <w:r w:rsidR="000D79A0">
        <w:rPr>
          <w:rFonts w:ascii="Palatino Linotype" w:hAnsi="Palatino Linotype" w:cs="Arial"/>
          <w:sz w:val="24"/>
          <w:szCs w:val="24"/>
        </w:rPr>
        <w:t xml:space="preserve">, si bien es cierto que la ponencia, realiza la suplencia en la deficiencia </w:t>
      </w:r>
      <w:r w:rsidR="00F83D56">
        <w:rPr>
          <w:rFonts w:ascii="Palatino Linotype" w:hAnsi="Palatino Linotype" w:cs="Arial"/>
          <w:sz w:val="24"/>
          <w:szCs w:val="24"/>
        </w:rPr>
        <w:t xml:space="preserve">en la obligación y responsabilidad del </w:t>
      </w:r>
      <w:r w:rsidR="00F83D56">
        <w:rPr>
          <w:rFonts w:ascii="Palatino Linotype" w:hAnsi="Palatino Linotype" w:cs="Arial"/>
          <w:b/>
          <w:sz w:val="24"/>
          <w:szCs w:val="24"/>
        </w:rPr>
        <w:t xml:space="preserve">SUJETO OBLIGADO </w:t>
      </w:r>
      <w:r w:rsidR="00F83D56">
        <w:rPr>
          <w:rFonts w:ascii="Palatino Linotype" w:hAnsi="Palatino Linotype" w:cs="Arial"/>
          <w:sz w:val="24"/>
          <w:szCs w:val="24"/>
        </w:rPr>
        <w:t xml:space="preserve">para dar pleno cumplimiento a lo dispuesto por el artículo 161 de la Ley de la materia,  realizando la búsqueda y señalando al particular mediante la resolución la forma en que puede obtener la información, también lo es que debe advertirlo en </w:t>
      </w:r>
      <w:r w:rsidR="00141135">
        <w:rPr>
          <w:rFonts w:ascii="Palatino Linotype" w:hAnsi="Palatino Linotype" w:cs="Arial"/>
          <w:sz w:val="24"/>
          <w:szCs w:val="24"/>
        </w:rPr>
        <w:t xml:space="preserve"> tener especial cuidado </w:t>
      </w:r>
      <w:r w:rsidR="00F83D56">
        <w:rPr>
          <w:rFonts w:ascii="Palatino Linotype" w:hAnsi="Palatino Linotype" w:cs="Arial"/>
          <w:sz w:val="24"/>
          <w:szCs w:val="24"/>
        </w:rPr>
        <w:t xml:space="preserve">al </w:t>
      </w:r>
      <w:r w:rsidR="00141135">
        <w:rPr>
          <w:rFonts w:ascii="Palatino Linotype" w:hAnsi="Palatino Linotype" w:cs="Arial"/>
          <w:sz w:val="24"/>
          <w:szCs w:val="24"/>
        </w:rPr>
        <w:t xml:space="preserve">atender </w:t>
      </w:r>
      <w:r w:rsidR="00F83D56">
        <w:rPr>
          <w:rFonts w:ascii="Palatino Linotype" w:hAnsi="Palatino Linotype" w:cs="Arial"/>
          <w:sz w:val="24"/>
          <w:szCs w:val="24"/>
        </w:rPr>
        <w:t>una</w:t>
      </w:r>
      <w:r w:rsidR="00141135">
        <w:rPr>
          <w:rFonts w:ascii="Palatino Linotype" w:hAnsi="Palatino Linotype" w:cs="Arial"/>
          <w:sz w:val="24"/>
          <w:szCs w:val="24"/>
        </w:rPr>
        <w:t xml:space="preserve"> solicitud de información, ya que de lo contrario, en forma reiterada sucederá lo ocurrido en el presente asunto y esto implica no se de cabal cumplimiento a los principios, bases y procedimientos, establecidos en la Ley de la materia, encaminados a tutelar y garantizar el Derecho de Acceso a la Información Pública. </w:t>
      </w:r>
    </w:p>
    <w:p w:rsidR="00794169" w:rsidRPr="00794169" w:rsidRDefault="00794169" w:rsidP="00794169">
      <w:pPr>
        <w:pStyle w:val="Prrafodelista"/>
        <w:rPr>
          <w:rFonts w:ascii="Palatino Linotype" w:hAnsi="Palatino Linotype" w:cs="Arial"/>
          <w:sz w:val="24"/>
          <w:szCs w:val="24"/>
        </w:rPr>
      </w:pPr>
    </w:p>
    <w:p w:rsidR="00794169" w:rsidRPr="00DC35D1" w:rsidRDefault="00794169" w:rsidP="00794169">
      <w:pPr>
        <w:pStyle w:val="Prrafodelista"/>
        <w:numPr>
          <w:ilvl w:val="0"/>
          <w:numId w:val="11"/>
        </w:numPr>
        <w:spacing w:after="0" w:line="360" w:lineRule="auto"/>
        <w:ind w:left="0"/>
        <w:jc w:val="both"/>
        <w:rPr>
          <w:rFonts w:ascii="Palatino Linotype" w:hAnsi="Palatino Linotype" w:cs="Arial"/>
          <w:sz w:val="24"/>
          <w:szCs w:val="24"/>
        </w:rPr>
      </w:pPr>
      <w:r w:rsidRPr="00794169">
        <w:rPr>
          <w:rFonts w:ascii="Palatino Linotype" w:hAnsi="Palatino Linotype" w:cs="Arial"/>
          <w:sz w:val="24"/>
          <w:szCs w:val="24"/>
        </w:rPr>
        <w:t>Para</w:t>
      </w:r>
      <w:r w:rsidRPr="00DC35D1">
        <w:rPr>
          <w:rFonts w:ascii="Palatino Linotype" w:hAnsi="Palatino Linotype"/>
          <w:sz w:val="24"/>
          <w:szCs w:val="24"/>
        </w:rPr>
        <w:t xml:space="preserve"> respetar adecuadamente el Derecho de acceso a la información no basta con la simple referencia </w:t>
      </w:r>
      <w:r>
        <w:rPr>
          <w:rFonts w:ascii="Palatino Linotype" w:hAnsi="Palatino Linotype"/>
          <w:sz w:val="24"/>
          <w:szCs w:val="24"/>
        </w:rPr>
        <w:t xml:space="preserve">del sitio electrónico, sino </w:t>
      </w:r>
      <w:r w:rsidRPr="00DC35D1">
        <w:rPr>
          <w:rFonts w:ascii="Palatino Linotype" w:hAnsi="Palatino Linotype"/>
          <w:sz w:val="24"/>
          <w:szCs w:val="24"/>
        </w:rPr>
        <w:t xml:space="preserve">que debe indicar de manera precisa </w:t>
      </w:r>
      <w:r>
        <w:rPr>
          <w:rFonts w:ascii="Palatino Linotype" w:hAnsi="Palatino Linotype"/>
          <w:sz w:val="24"/>
          <w:szCs w:val="24"/>
        </w:rPr>
        <w:t>la fuente, el lugar y la forma en que puede consultarse</w:t>
      </w:r>
      <w:r w:rsidRPr="00DC35D1">
        <w:rPr>
          <w:rFonts w:ascii="Palatino Linotype" w:hAnsi="Palatino Linotype"/>
          <w:sz w:val="24"/>
          <w:szCs w:val="24"/>
        </w:rPr>
        <w:t xml:space="preserve"> en cuyo contenido consta la información que satisface la solicitud</w:t>
      </w:r>
      <w:r w:rsidRPr="00DC35D1">
        <w:rPr>
          <w:rFonts w:ascii="Palatino Linotype" w:hAnsi="Palatino Linotype" w:cs="Arial"/>
          <w:sz w:val="24"/>
          <w:szCs w:val="24"/>
        </w:rPr>
        <w:t>,</w:t>
      </w:r>
      <w:r w:rsidRPr="00DC35D1">
        <w:rPr>
          <w:rFonts w:ascii="Palatino Linotype" w:hAnsi="Palatino Linotype"/>
          <w:sz w:val="24"/>
          <w:szCs w:val="24"/>
        </w:rPr>
        <w:t xml:space="preserve"> y no debe implicar que el solicitante realice una búsqueda en toda la información que se encuentre disponible </w:t>
      </w:r>
      <w:r>
        <w:rPr>
          <w:rFonts w:ascii="Palatino Linotype" w:hAnsi="Palatino Linotype"/>
          <w:sz w:val="24"/>
          <w:szCs w:val="24"/>
        </w:rPr>
        <w:t>en la página</w:t>
      </w:r>
      <w:r>
        <w:rPr>
          <w:rFonts w:ascii="Palatino Linotype" w:hAnsi="Palatino Linotype" w:cs="Arial"/>
          <w:sz w:val="24"/>
          <w:szCs w:val="24"/>
        </w:rPr>
        <w:t>, por lo que al proporcionar la información en respuesta o informe Justificado</w:t>
      </w:r>
      <w:r w:rsidRPr="00DC35D1">
        <w:rPr>
          <w:rFonts w:ascii="Palatino Linotype" w:hAnsi="Palatino Linotype" w:cs="Arial"/>
          <w:sz w:val="24"/>
          <w:szCs w:val="24"/>
        </w:rPr>
        <w:t>, deberá tener especial cuid</w:t>
      </w:r>
      <w:r>
        <w:rPr>
          <w:rFonts w:ascii="Palatino Linotype" w:hAnsi="Palatino Linotype" w:cs="Arial"/>
          <w:sz w:val="24"/>
          <w:szCs w:val="24"/>
        </w:rPr>
        <w:t xml:space="preserve">ado, ya que de ello depende, </w:t>
      </w:r>
      <w:r w:rsidRPr="00DC35D1">
        <w:rPr>
          <w:rFonts w:ascii="Palatino Linotype" w:hAnsi="Palatino Linotype" w:cs="Arial"/>
          <w:sz w:val="24"/>
          <w:szCs w:val="24"/>
        </w:rPr>
        <w:t xml:space="preserve">que la obligación de acceso a la información pública se tenga por cumplida, al poner a disposición del particular el soporte documental requerido. </w:t>
      </w:r>
    </w:p>
    <w:p w:rsidR="000D79A0" w:rsidRPr="000D79A0" w:rsidRDefault="000D79A0" w:rsidP="000D79A0">
      <w:pPr>
        <w:pStyle w:val="Prrafodelista"/>
        <w:rPr>
          <w:rFonts w:ascii="Palatino Linotype" w:hAnsi="Palatino Linotype" w:cs="Arial"/>
          <w:sz w:val="24"/>
          <w:szCs w:val="24"/>
        </w:rPr>
      </w:pPr>
    </w:p>
    <w:p w:rsidR="00F15522" w:rsidRDefault="00F15522" w:rsidP="00794169">
      <w:pPr>
        <w:pStyle w:val="Prrafodelista"/>
        <w:numPr>
          <w:ilvl w:val="0"/>
          <w:numId w:val="11"/>
        </w:numPr>
        <w:spacing w:after="0" w:line="360" w:lineRule="auto"/>
        <w:ind w:left="0"/>
        <w:jc w:val="both"/>
        <w:rPr>
          <w:rFonts w:ascii="Palatino Linotype" w:hAnsi="Palatino Linotype" w:cs="Arial"/>
          <w:sz w:val="24"/>
          <w:szCs w:val="24"/>
        </w:rPr>
      </w:pPr>
      <w:r w:rsidRPr="00794169">
        <w:rPr>
          <w:rFonts w:ascii="Palatino Linotype" w:hAnsi="Palatino Linotype" w:cs="Arial"/>
          <w:sz w:val="24"/>
          <w:szCs w:val="24"/>
        </w:rPr>
        <w:lastRenderedPageBreak/>
        <w:t>En atención a las consideraciones antes señaladas</w:t>
      </w:r>
      <w:r w:rsidR="000E43AB" w:rsidRPr="00794169">
        <w:rPr>
          <w:rFonts w:ascii="Palatino Linotype" w:hAnsi="Palatino Linotype" w:cs="Arial"/>
          <w:sz w:val="24"/>
          <w:szCs w:val="24"/>
        </w:rPr>
        <w:t xml:space="preserve">, si bien es cierto, este </w:t>
      </w:r>
      <w:r w:rsidR="00D60041" w:rsidRPr="00794169">
        <w:rPr>
          <w:rFonts w:ascii="Palatino Linotype" w:hAnsi="Palatino Linotype" w:cs="Arial"/>
          <w:sz w:val="24"/>
          <w:szCs w:val="24"/>
        </w:rPr>
        <w:t>Instituto</w:t>
      </w:r>
      <w:r w:rsidR="00F3485F" w:rsidRPr="00794169">
        <w:rPr>
          <w:rFonts w:ascii="Palatino Linotype" w:hAnsi="Palatino Linotype" w:cs="Arial"/>
          <w:sz w:val="24"/>
          <w:szCs w:val="24"/>
        </w:rPr>
        <w:t xml:space="preserve"> </w:t>
      </w:r>
      <w:r w:rsidR="00F84DA1" w:rsidRPr="00794169">
        <w:rPr>
          <w:rFonts w:ascii="Palatino Linotype" w:hAnsi="Palatino Linotype" w:cs="Arial"/>
          <w:sz w:val="24"/>
          <w:szCs w:val="24"/>
        </w:rPr>
        <w:t xml:space="preserve">en aras de garantizar el derecho de acceso a la información atendiendo los principios de simplicidad y rapidez del procedimiento </w:t>
      </w:r>
      <w:r w:rsidR="00141135" w:rsidRPr="00794169">
        <w:rPr>
          <w:rFonts w:ascii="Palatino Linotype" w:hAnsi="Palatino Linotype" w:cs="Arial"/>
          <w:sz w:val="24"/>
          <w:szCs w:val="24"/>
        </w:rPr>
        <w:t>mediante la r</w:t>
      </w:r>
      <w:r w:rsidR="00196D0F">
        <w:rPr>
          <w:rFonts w:ascii="Palatino Linotype" w:hAnsi="Palatino Linotype" w:cs="Arial"/>
          <w:sz w:val="24"/>
          <w:szCs w:val="24"/>
        </w:rPr>
        <w:t xml:space="preserve">esolución pone a disposición del </w:t>
      </w:r>
      <w:r w:rsidR="00196D0F">
        <w:rPr>
          <w:rFonts w:ascii="Palatino Linotype" w:hAnsi="Palatino Linotype" w:cs="Arial"/>
          <w:b/>
          <w:sz w:val="24"/>
          <w:szCs w:val="24"/>
        </w:rPr>
        <w:t xml:space="preserve">RECURRENTE </w:t>
      </w:r>
      <w:r w:rsidR="00F83D56" w:rsidRPr="00794169">
        <w:rPr>
          <w:rFonts w:ascii="Palatino Linotype" w:hAnsi="Palatino Linotype"/>
          <w:sz w:val="24"/>
          <w:szCs w:val="24"/>
          <w:lang w:val="es-ES_tradnl"/>
        </w:rPr>
        <w:t>el procedimiento para realizar la búsqueda y consulta de la información requerida</w:t>
      </w:r>
      <w:r w:rsidR="0056327C" w:rsidRPr="00794169">
        <w:rPr>
          <w:rFonts w:ascii="Palatino Linotype" w:hAnsi="Palatino Linotype"/>
          <w:sz w:val="24"/>
          <w:szCs w:val="24"/>
          <w:lang w:val="es-ES_tradnl"/>
        </w:rPr>
        <w:t xml:space="preserve">, </w:t>
      </w:r>
      <w:r w:rsidR="0056327C" w:rsidRPr="00794169">
        <w:rPr>
          <w:rFonts w:ascii="Palatino Linotype" w:hAnsi="Palatino Linotype" w:cs="Arial"/>
          <w:sz w:val="24"/>
          <w:szCs w:val="24"/>
        </w:rPr>
        <w:t xml:space="preserve"> también </w:t>
      </w:r>
      <w:r w:rsidR="00794169" w:rsidRPr="00794169">
        <w:rPr>
          <w:rFonts w:ascii="Palatino Linotype" w:hAnsi="Palatino Linotype" w:cs="Arial"/>
          <w:sz w:val="24"/>
          <w:szCs w:val="24"/>
        </w:rPr>
        <w:t>mediante la resolución debería advertir</w:t>
      </w:r>
      <w:r w:rsidR="00F83D56" w:rsidRPr="00794169">
        <w:rPr>
          <w:rFonts w:ascii="Palatino Linotype" w:hAnsi="Palatino Linotype" w:cs="Arial"/>
          <w:sz w:val="24"/>
          <w:szCs w:val="24"/>
        </w:rPr>
        <w:t xml:space="preserve"> a</w:t>
      </w:r>
      <w:r w:rsidR="00196D0F">
        <w:rPr>
          <w:rFonts w:ascii="Palatino Linotype" w:hAnsi="Palatino Linotype" w:cs="Arial"/>
          <w:sz w:val="24"/>
          <w:szCs w:val="24"/>
        </w:rPr>
        <w:t xml:space="preserve"> </w:t>
      </w:r>
      <w:r w:rsidR="00F83D56" w:rsidRPr="00794169">
        <w:rPr>
          <w:rFonts w:ascii="Palatino Linotype" w:hAnsi="Palatino Linotype" w:cs="Arial"/>
          <w:sz w:val="24"/>
          <w:szCs w:val="24"/>
        </w:rPr>
        <w:t>l</w:t>
      </w:r>
      <w:r w:rsidR="00196D0F">
        <w:rPr>
          <w:rFonts w:ascii="Palatino Linotype" w:hAnsi="Palatino Linotype" w:cs="Arial"/>
          <w:sz w:val="24"/>
          <w:szCs w:val="24"/>
        </w:rPr>
        <w:t>a</w:t>
      </w:r>
      <w:r w:rsidR="00F83D56" w:rsidRPr="00794169">
        <w:rPr>
          <w:rFonts w:ascii="Palatino Linotype" w:hAnsi="Palatino Linotype" w:cs="Arial"/>
          <w:sz w:val="24"/>
          <w:szCs w:val="24"/>
        </w:rPr>
        <w:t xml:space="preserve"> </w:t>
      </w:r>
      <w:r w:rsidR="00196D0F">
        <w:rPr>
          <w:rFonts w:ascii="Palatino Linotype" w:hAnsi="Palatino Linotype" w:cs="Arial"/>
          <w:b/>
          <w:sz w:val="24"/>
          <w:szCs w:val="24"/>
        </w:rPr>
        <w:t>Secretaría de Finanzas</w:t>
      </w:r>
      <w:r w:rsidR="00F84DA1" w:rsidRPr="00794169">
        <w:rPr>
          <w:rFonts w:ascii="Palatino Linotype" w:hAnsi="Palatino Linotype" w:cs="Arial"/>
          <w:b/>
          <w:sz w:val="24"/>
          <w:szCs w:val="24"/>
        </w:rPr>
        <w:t xml:space="preserve">, </w:t>
      </w:r>
      <w:r w:rsidR="00141135" w:rsidRPr="00794169">
        <w:rPr>
          <w:rFonts w:ascii="Palatino Linotype" w:hAnsi="Palatino Linotype" w:cs="Arial"/>
          <w:sz w:val="24"/>
          <w:szCs w:val="24"/>
        </w:rPr>
        <w:t xml:space="preserve">que </w:t>
      </w:r>
      <w:r w:rsidR="00F83D56" w:rsidRPr="00794169">
        <w:rPr>
          <w:rFonts w:ascii="Palatino Linotype" w:hAnsi="Palatino Linotype" w:cs="Arial"/>
          <w:sz w:val="24"/>
          <w:szCs w:val="24"/>
        </w:rPr>
        <w:t xml:space="preserve">en observancia a las </w:t>
      </w:r>
      <w:r w:rsidR="00F84DA1" w:rsidRPr="00794169">
        <w:rPr>
          <w:rFonts w:ascii="Palatino Linotype" w:hAnsi="Palatino Linotype" w:cs="Arial"/>
          <w:sz w:val="24"/>
          <w:szCs w:val="24"/>
        </w:rPr>
        <w:t xml:space="preserve"> facultades y obligaciones que la ley de la materia dispone, </w:t>
      </w:r>
      <w:r w:rsidR="00AD01CF" w:rsidRPr="00794169">
        <w:rPr>
          <w:rFonts w:ascii="Palatino Linotype" w:hAnsi="Palatino Linotype" w:cs="Arial"/>
          <w:sz w:val="24"/>
          <w:szCs w:val="24"/>
        </w:rPr>
        <w:t>d</w:t>
      </w:r>
      <w:r w:rsidR="00B75E0A" w:rsidRPr="00794169">
        <w:rPr>
          <w:rFonts w:ascii="Palatino Linotype" w:hAnsi="Palatino Linotype" w:cs="Arial"/>
          <w:sz w:val="24"/>
          <w:szCs w:val="24"/>
        </w:rPr>
        <w:t>ebe atender las formalidades para</w:t>
      </w:r>
      <w:r w:rsidR="00141135" w:rsidRPr="00794169">
        <w:rPr>
          <w:rFonts w:ascii="Palatino Linotype" w:hAnsi="Palatino Linotype" w:cs="Arial"/>
          <w:sz w:val="24"/>
          <w:szCs w:val="24"/>
        </w:rPr>
        <w:t xml:space="preserve"> resp</w:t>
      </w:r>
      <w:r w:rsidR="00F83D56" w:rsidRPr="00794169">
        <w:rPr>
          <w:rFonts w:ascii="Palatino Linotype" w:hAnsi="Palatino Linotype" w:cs="Arial"/>
          <w:sz w:val="24"/>
          <w:szCs w:val="24"/>
        </w:rPr>
        <w:t xml:space="preserve">onder a una solicitud </w:t>
      </w:r>
      <w:r w:rsidR="00794169" w:rsidRPr="00794169">
        <w:rPr>
          <w:rFonts w:ascii="Palatino Linotype" w:hAnsi="Palatino Linotype" w:cs="Arial"/>
          <w:sz w:val="24"/>
          <w:szCs w:val="24"/>
        </w:rPr>
        <w:t>indicando</w:t>
      </w:r>
      <w:r w:rsidR="00F83D56" w:rsidRPr="00794169">
        <w:rPr>
          <w:rFonts w:ascii="Palatino Linotype" w:hAnsi="Palatino Linotype" w:cs="Arial"/>
          <w:sz w:val="24"/>
          <w:szCs w:val="24"/>
        </w:rPr>
        <w:t xml:space="preserve"> por el medio requerido</w:t>
      </w:r>
      <w:r w:rsidR="00794169" w:rsidRPr="00794169">
        <w:rPr>
          <w:rFonts w:ascii="Palatino Linotype" w:hAnsi="Palatino Linotype" w:cs="Arial"/>
          <w:sz w:val="24"/>
          <w:szCs w:val="24"/>
        </w:rPr>
        <w:t xml:space="preserve">, </w:t>
      </w:r>
      <w:r w:rsidR="00F83D56" w:rsidRPr="00794169">
        <w:rPr>
          <w:rFonts w:ascii="Palatino Linotype" w:hAnsi="Palatino Linotype" w:cs="Arial"/>
          <w:sz w:val="24"/>
          <w:szCs w:val="24"/>
        </w:rPr>
        <w:t xml:space="preserve"> la fuente, el lugar y la forma en que puede consultar la información, indicando paso a paso hasta llegar </w:t>
      </w:r>
      <w:r w:rsidR="00794169" w:rsidRPr="00794169">
        <w:rPr>
          <w:rFonts w:ascii="Palatino Linotype" w:hAnsi="Palatino Linotype" w:cs="Arial"/>
          <w:sz w:val="24"/>
          <w:szCs w:val="24"/>
        </w:rPr>
        <w:t>a la información solicitada y ya publicada</w:t>
      </w:r>
      <w:r w:rsidR="00F83D56" w:rsidRPr="00794169">
        <w:rPr>
          <w:rFonts w:ascii="Palatino Linotype" w:hAnsi="Palatino Linotype" w:cs="Arial"/>
          <w:sz w:val="24"/>
          <w:szCs w:val="24"/>
        </w:rPr>
        <w:t xml:space="preserve"> en algún formato electrónico disponible en internet</w:t>
      </w:r>
      <w:r w:rsidR="00141135" w:rsidRPr="00794169">
        <w:rPr>
          <w:rFonts w:ascii="Palatino Linotype" w:hAnsi="Palatino Linotype" w:cs="Arial"/>
          <w:sz w:val="24"/>
          <w:szCs w:val="24"/>
        </w:rPr>
        <w:t>,</w:t>
      </w:r>
      <w:r w:rsidR="00F83D56" w:rsidRPr="00794169">
        <w:rPr>
          <w:rFonts w:ascii="Palatino Linotype" w:hAnsi="Palatino Linotype" w:cs="Arial"/>
          <w:sz w:val="24"/>
          <w:szCs w:val="24"/>
        </w:rPr>
        <w:t xml:space="preserve"> dentro del plazo que no debe exceder de cinco días hábiles, </w:t>
      </w:r>
      <w:r w:rsidR="00141135" w:rsidRPr="00794169">
        <w:rPr>
          <w:rFonts w:ascii="Palatino Linotype" w:hAnsi="Palatino Linotype" w:cs="Arial"/>
          <w:sz w:val="24"/>
          <w:szCs w:val="24"/>
        </w:rPr>
        <w:t xml:space="preserve"> </w:t>
      </w:r>
      <w:r w:rsidR="00F83D56" w:rsidRPr="00794169">
        <w:rPr>
          <w:rFonts w:ascii="Palatino Linotype" w:hAnsi="Palatino Linotype" w:cs="Arial"/>
          <w:sz w:val="24"/>
          <w:szCs w:val="24"/>
        </w:rPr>
        <w:t>así</w:t>
      </w:r>
      <w:r w:rsidR="0056327C" w:rsidRPr="00794169">
        <w:rPr>
          <w:rFonts w:ascii="Palatino Linotype" w:hAnsi="Palatino Linotype" w:cs="Arial"/>
          <w:sz w:val="24"/>
          <w:szCs w:val="24"/>
        </w:rPr>
        <w:t xml:space="preserve"> se tendrá por cumplida</w:t>
      </w:r>
      <w:r w:rsidR="00F83D56" w:rsidRPr="00794169">
        <w:rPr>
          <w:rFonts w:ascii="Palatino Linotype" w:hAnsi="Palatino Linotype" w:cs="Arial"/>
          <w:sz w:val="24"/>
          <w:szCs w:val="24"/>
        </w:rPr>
        <w:t xml:space="preserve"> la solicitud c</w:t>
      </w:r>
      <w:r w:rsidR="0056327C" w:rsidRPr="00794169">
        <w:rPr>
          <w:rFonts w:ascii="Palatino Linotype" w:hAnsi="Palatino Linotype" w:cs="Arial"/>
          <w:sz w:val="24"/>
          <w:szCs w:val="24"/>
        </w:rPr>
        <w:t xml:space="preserve">uando el </w:t>
      </w:r>
      <w:r w:rsidR="00F83D56" w:rsidRPr="00794169">
        <w:rPr>
          <w:rFonts w:ascii="Palatino Linotype" w:hAnsi="Palatino Linotype" w:cs="Arial"/>
          <w:sz w:val="24"/>
          <w:szCs w:val="24"/>
        </w:rPr>
        <w:t>particular</w:t>
      </w:r>
      <w:r w:rsidR="0056327C" w:rsidRPr="00794169">
        <w:rPr>
          <w:rFonts w:ascii="Palatino Linotype" w:hAnsi="Palatino Linotype" w:cs="Arial"/>
          <w:sz w:val="24"/>
          <w:szCs w:val="24"/>
        </w:rPr>
        <w:t xml:space="preserve"> tenga a su dispo</w:t>
      </w:r>
      <w:r w:rsidR="00B75E0A" w:rsidRPr="00794169">
        <w:rPr>
          <w:rFonts w:ascii="Palatino Linotype" w:hAnsi="Palatino Linotype" w:cs="Arial"/>
          <w:sz w:val="24"/>
          <w:szCs w:val="24"/>
        </w:rPr>
        <w:t xml:space="preserve">sición la información requerida, </w:t>
      </w:r>
      <w:r w:rsidR="00F83D56" w:rsidRPr="00794169">
        <w:rPr>
          <w:rFonts w:ascii="Palatino Linotype" w:hAnsi="Palatino Linotype" w:cs="Arial"/>
          <w:sz w:val="24"/>
          <w:szCs w:val="24"/>
        </w:rPr>
        <w:t xml:space="preserve">por lo tanto </w:t>
      </w:r>
      <w:r w:rsidR="00B75E0A" w:rsidRPr="00794169">
        <w:rPr>
          <w:rFonts w:ascii="Palatino Linotype" w:hAnsi="Palatino Linotype" w:cs="Arial"/>
          <w:sz w:val="24"/>
          <w:szCs w:val="24"/>
        </w:rPr>
        <w:t>actuar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794169" w:rsidRDefault="00794169" w:rsidP="00794169">
      <w:pPr>
        <w:spacing w:after="0" w:line="360" w:lineRule="auto"/>
        <w:jc w:val="both"/>
        <w:rPr>
          <w:rFonts w:ascii="Palatino Linotype" w:hAnsi="Palatino Linotype" w:cs="Arial"/>
          <w:sz w:val="24"/>
          <w:szCs w:val="24"/>
        </w:rPr>
      </w:pPr>
    </w:p>
    <w:p w:rsidR="00794169" w:rsidRDefault="00794169" w:rsidP="00794169">
      <w:pPr>
        <w:spacing w:after="0" w:line="360" w:lineRule="auto"/>
        <w:jc w:val="both"/>
        <w:rPr>
          <w:rFonts w:ascii="Palatino Linotype" w:hAnsi="Palatino Linotype" w:cs="Arial"/>
          <w:sz w:val="24"/>
          <w:szCs w:val="24"/>
        </w:rPr>
      </w:pPr>
    </w:p>
    <w:p w:rsidR="00794169" w:rsidRPr="00794169" w:rsidRDefault="00794169" w:rsidP="00794169">
      <w:pPr>
        <w:spacing w:after="0" w:line="360" w:lineRule="auto"/>
        <w:jc w:val="both"/>
        <w:rPr>
          <w:rFonts w:ascii="Palatino Linotype" w:hAnsi="Palatino Linotype" w:cs="Arial"/>
          <w:sz w:val="24"/>
          <w:szCs w:val="24"/>
        </w:rPr>
      </w:pPr>
    </w:p>
    <w:p w:rsidR="00625340" w:rsidRPr="001C3008" w:rsidRDefault="00625340" w:rsidP="00625340">
      <w:pPr>
        <w:spacing w:line="360" w:lineRule="auto"/>
        <w:jc w:val="center"/>
        <w:rPr>
          <w:rFonts w:ascii="Palatino Linotype" w:eastAsia="Calibri" w:hAnsi="Palatino Linotype" w:cs="Arial"/>
          <w:b/>
          <w:sz w:val="24"/>
          <w:szCs w:val="24"/>
        </w:rPr>
      </w:pPr>
      <w:r w:rsidRPr="001C3008">
        <w:rPr>
          <w:rFonts w:ascii="Palatino Linotype" w:eastAsia="Calibri" w:hAnsi="Palatino Linotype" w:cs="Arial"/>
          <w:b/>
          <w:sz w:val="24"/>
          <w:szCs w:val="24"/>
        </w:rPr>
        <w:t>JOSÉ GUADALUPE LUNA HERNÁNDEZ</w:t>
      </w:r>
    </w:p>
    <w:p w:rsidR="00625340" w:rsidRDefault="009749F9"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C</w:t>
      </w:r>
      <w:r w:rsidR="00625340" w:rsidRPr="001C3008">
        <w:rPr>
          <w:rFonts w:ascii="Palatino Linotype" w:eastAsia="Calibri" w:hAnsi="Palatino Linotype" w:cs="Arial"/>
          <w:b/>
          <w:sz w:val="24"/>
          <w:szCs w:val="24"/>
        </w:rPr>
        <w:t>OMISIONADO</w:t>
      </w:r>
    </w:p>
    <w:p w:rsidR="00196D0F" w:rsidRDefault="00196D0F" w:rsidP="00625340">
      <w:pPr>
        <w:spacing w:line="360" w:lineRule="auto"/>
        <w:jc w:val="center"/>
        <w:rPr>
          <w:rFonts w:ascii="Palatino Linotype" w:eastAsia="Calibri" w:hAnsi="Palatino Linotype" w:cs="Arial"/>
          <w:b/>
          <w:sz w:val="24"/>
          <w:szCs w:val="24"/>
        </w:rPr>
      </w:pPr>
      <w:r>
        <w:rPr>
          <w:rFonts w:ascii="Palatino Linotype" w:eastAsia="Calibri" w:hAnsi="Palatino Linotype" w:cs="Arial"/>
          <w:b/>
          <w:sz w:val="24"/>
          <w:szCs w:val="24"/>
        </w:rPr>
        <w:t>(Rúbrica)</w:t>
      </w:r>
    </w:p>
    <w:sectPr w:rsidR="00196D0F" w:rsidSect="00267F73">
      <w:headerReference w:type="even" r:id="rId10"/>
      <w:headerReference w:type="default" r:id="rId11"/>
      <w:footerReference w:type="default" r:id="rId12"/>
      <w:headerReference w:type="first" r:id="rId13"/>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126" w:rsidRDefault="00DD6126" w:rsidP="00DC559A">
      <w:pPr>
        <w:spacing w:after="0" w:line="240" w:lineRule="auto"/>
      </w:pPr>
      <w:r>
        <w:separator/>
      </w:r>
    </w:p>
  </w:endnote>
  <w:endnote w:type="continuationSeparator" w:id="0">
    <w:p w:rsidR="00DD6126" w:rsidRDefault="00DD6126" w:rsidP="00DC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87289" w:rsidRDefault="00B8728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6D0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6D0F">
              <w:rPr>
                <w:b/>
                <w:bCs/>
                <w:noProof/>
              </w:rPr>
              <w:t>7</w:t>
            </w:r>
            <w:r>
              <w:rPr>
                <w:b/>
                <w:bCs/>
                <w:sz w:val="24"/>
                <w:szCs w:val="24"/>
              </w:rPr>
              <w:fldChar w:fldCharType="end"/>
            </w:r>
          </w:p>
        </w:sdtContent>
      </w:sdt>
    </w:sdtContent>
  </w:sdt>
  <w:p w:rsidR="00951E8B" w:rsidRDefault="00DD6126" w:rsidP="00B8728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126" w:rsidRDefault="00DD6126" w:rsidP="00DC559A">
      <w:pPr>
        <w:spacing w:after="0" w:line="240" w:lineRule="auto"/>
      </w:pPr>
      <w:r>
        <w:separator/>
      </w:r>
    </w:p>
  </w:footnote>
  <w:footnote w:type="continuationSeparator" w:id="0">
    <w:p w:rsidR="00DD6126" w:rsidRDefault="00DD6126" w:rsidP="00DC5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D612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264;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D6126">
    <w:pPr>
      <w:pStyle w:val="Encabezado"/>
    </w:pPr>
    <w:r>
      <w:rPr>
        <w:noProof/>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1634" o:spid="_x0000_s2052" type="#_x0000_t136" style="position:absolute;margin-left:0;margin-top:0;width:566.4pt;height:56.6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50137A" w:rsidRDefault="00DD612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D612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816EB"/>
    <w:multiLevelType w:val="hybridMultilevel"/>
    <w:tmpl w:val="95486C12"/>
    <w:lvl w:ilvl="0" w:tplc="259C2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254F02"/>
    <w:multiLevelType w:val="hybridMultilevel"/>
    <w:tmpl w:val="3ADC68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770CA1"/>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F73D3E"/>
    <w:multiLevelType w:val="hybridMultilevel"/>
    <w:tmpl w:val="0E809184"/>
    <w:lvl w:ilvl="0" w:tplc="029A29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222A1A"/>
    <w:multiLevelType w:val="hybridMultilevel"/>
    <w:tmpl w:val="DE223B04"/>
    <w:lvl w:ilvl="0" w:tplc="5C5A7F2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8536C8"/>
    <w:multiLevelType w:val="hybridMultilevel"/>
    <w:tmpl w:val="F886DFBE"/>
    <w:lvl w:ilvl="0" w:tplc="397E08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B94721"/>
    <w:multiLevelType w:val="hybridMultilevel"/>
    <w:tmpl w:val="54C22B9C"/>
    <w:lvl w:ilvl="0" w:tplc="7004A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C3519E"/>
    <w:multiLevelType w:val="hybridMultilevel"/>
    <w:tmpl w:val="A484CB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A37E806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751110A"/>
    <w:multiLevelType w:val="hybridMultilevel"/>
    <w:tmpl w:val="ACAA7774"/>
    <w:lvl w:ilvl="0" w:tplc="4314BC12">
      <w:start w:val="2"/>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3C22D2"/>
    <w:multiLevelType w:val="hybridMultilevel"/>
    <w:tmpl w:val="8DB84A00"/>
    <w:lvl w:ilvl="0" w:tplc="F1DAB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B373820"/>
    <w:multiLevelType w:val="hybridMultilevel"/>
    <w:tmpl w:val="A8A8AA88"/>
    <w:lvl w:ilvl="0" w:tplc="B240C2BC">
      <w:start w:val="22"/>
      <w:numFmt w:val="decimal"/>
      <w:lvlText w:val="%1."/>
      <w:lvlJc w:val="left"/>
      <w:pPr>
        <w:ind w:left="295" w:hanging="360"/>
      </w:pPr>
      <w:rPr>
        <w:rFonts w:hint="default"/>
      </w:rPr>
    </w:lvl>
    <w:lvl w:ilvl="1" w:tplc="080A0019" w:tentative="1">
      <w:start w:val="1"/>
      <w:numFmt w:val="lowerLetter"/>
      <w:lvlText w:val="%2."/>
      <w:lvlJc w:val="left"/>
      <w:pPr>
        <w:ind w:left="1015" w:hanging="360"/>
      </w:pPr>
    </w:lvl>
    <w:lvl w:ilvl="2" w:tplc="080A001B" w:tentative="1">
      <w:start w:val="1"/>
      <w:numFmt w:val="lowerRoman"/>
      <w:lvlText w:val="%3."/>
      <w:lvlJc w:val="right"/>
      <w:pPr>
        <w:ind w:left="1735" w:hanging="180"/>
      </w:pPr>
    </w:lvl>
    <w:lvl w:ilvl="3" w:tplc="080A000F" w:tentative="1">
      <w:start w:val="1"/>
      <w:numFmt w:val="decimal"/>
      <w:lvlText w:val="%4."/>
      <w:lvlJc w:val="left"/>
      <w:pPr>
        <w:ind w:left="2455" w:hanging="360"/>
      </w:pPr>
    </w:lvl>
    <w:lvl w:ilvl="4" w:tplc="080A0019" w:tentative="1">
      <w:start w:val="1"/>
      <w:numFmt w:val="lowerLetter"/>
      <w:lvlText w:val="%5."/>
      <w:lvlJc w:val="left"/>
      <w:pPr>
        <w:ind w:left="3175" w:hanging="360"/>
      </w:pPr>
    </w:lvl>
    <w:lvl w:ilvl="5" w:tplc="080A001B" w:tentative="1">
      <w:start w:val="1"/>
      <w:numFmt w:val="lowerRoman"/>
      <w:lvlText w:val="%6."/>
      <w:lvlJc w:val="right"/>
      <w:pPr>
        <w:ind w:left="3895" w:hanging="180"/>
      </w:pPr>
    </w:lvl>
    <w:lvl w:ilvl="6" w:tplc="080A000F" w:tentative="1">
      <w:start w:val="1"/>
      <w:numFmt w:val="decimal"/>
      <w:lvlText w:val="%7."/>
      <w:lvlJc w:val="left"/>
      <w:pPr>
        <w:ind w:left="4615" w:hanging="360"/>
      </w:pPr>
    </w:lvl>
    <w:lvl w:ilvl="7" w:tplc="080A0019" w:tentative="1">
      <w:start w:val="1"/>
      <w:numFmt w:val="lowerLetter"/>
      <w:lvlText w:val="%8."/>
      <w:lvlJc w:val="left"/>
      <w:pPr>
        <w:ind w:left="5335" w:hanging="360"/>
      </w:pPr>
    </w:lvl>
    <w:lvl w:ilvl="8" w:tplc="080A001B" w:tentative="1">
      <w:start w:val="1"/>
      <w:numFmt w:val="lowerRoman"/>
      <w:lvlText w:val="%9."/>
      <w:lvlJc w:val="right"/>
      <w:pPr>
        <w:ind w:left="6055" w:hanging="180"/>
      </w:pPr>
    </w:lvl>
  </w:abstractNum>
  <w:num w:numId="1">
    <w:abstractNumId w:val="13"/>
  </w:num>
  <w:num w:numId="2">
    <w:abstractNumId w:val="1"/>
  </w:num>
  <w:num w:numId="3">
    <w:abstractNumId w:val="14"/>
  </w:num>
  <w:num w:numId="4">
    <w:abstractNumId w:val="7"/>
  </w:num>
  <w:num w:numId="5">
    <w:abstractNumId w:val="18"/>
  </w:num>
  <w:num w:numId="6">
    <w:abstractNumId w:val="8"/>
  </w:num>
  <w:num w:numId="7">
    <w:abstractNumId w:val="17"/>
  </w:num>
  <w:num w:numId="8">
    <w:abstractNumId w:val="15"/>
  </w:num>
  <w:num w:numId="9">
    <w:abstractNumId w:val="5"/>
  </w:num>
  <w:num w:numId="10">
    <w:abstractNumId w:val="3"/>
  </w:num>
  <w:num w:numId="11">
    <w:abstractNumId w:val="6"/>
  </w:num>
  <w:num w:numId="12">
    <w:abstractNumId w:val="10"/>
  </w:num>
  <w:num w:numId="13">
    <w:abstractNumId w:val="11"/>
  </w:num>
  <w:num w:numId="14">
    <w:abstractNumId w:val="16"/>
  </w:num>
  <w:num w:numId="15">
    <w:abstractNumId w:val="0"/>
  </w:num>
  <w:num w:numId="16">
    <w:abstractNumId w:val="12"/>
  </w:num>
  <w:num w:numId="17">
    <w:abstractNumId w:val="4"/>
  </w:num>
  <w:num w:numId="18">
    <w:abstractNumId w:val="19"/>
  </w:num>
  <w:num w:numId="19">
    <w:abstractNumId w:val="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59A"/>
    <w:rsid w:val="00005556"/>
    <w:rsid w:val="00013F62"/>
    <w:rsid w:val="000227F4"/>
    <w:rsid w:val="00026199"/>
    <w:rsid w:val="0002684D"/>
    <w:rsid w:val="00037C7C"/>
    <w:rsid w:val="00064D2B"/>
    <w:rsid w:val="000D5811"/>
    <w:rsid w:val="000D79A0"/>
    <w:rsid w:val="000E43AB"/>
    <w:rsid w:val="000F4071"/>
    <w:rsid w:val="00123E1D"/>
    <w:rsid w:val="00134DA0"/>
    <w:rsid w:val="00141135"/>
    <w:rsid w:val="00145961"/>
    <w:rsid w:val="001620F1"/>
    <w:rsid w:val="00165703"/>
    <w:rsid w:val="00175E9F"/>
    <w:rsid w:val="00183A1B"/>
    <w:rsid w:val="00187E2D"/>
    <w:rsid w:val="00196D0F"/>
    <w:rsid w:val="001B78B7"/>
    <w:rsid w:val="001D09E6"/>
    <w:rsid w:val="001D465C"/>
    <w:rsid w:val="00203EB6"/>
    <w:rsid w:val="0020553B"/>
    <w:rsid w:val="00220BB9"/>
    <w:rsid w:val="00225758"/>
    <w:rsid w:val="002376B4"/>
    <w:rsid w:val="00260A10"/>
    <w:rsid w:val="00267F73"/>
    <w:rsid w:val="00274EF3"/>
    <w:rsid w:val="00284349"/>
    <w:rsid w:val="002948E5"/>
    <w:rsid w:val="002B4023"/>
    <w:rsid w:val="002D63B3"/>
    <w:rsid w:val="00300947"/>
    <w:rsid w:val="00323DF8"/>
    <w:rsid w:val="00336BC3"/>
    <w:rsid w:val="0034151E"/>
    <w:rsid w:val="003431E5"/>
    <w:rsid w:val="0036287F"/>
    <w:rsid w:val="00384C92"/>
    <w:rsid w:val="00393382"/>
    <w:rsid w:val="0039566E"/>
    <w:rsid w:val="003B6EC6"/>
    <w:rsid w:val="003C7564"/>
    <w:rsid w:val="003F4D31"/>
    <w:rsid w:val="00432104"/>
    <w:rsid w:val="00435284"/>
    <w:rsid w:val="00460CF5"/>
    <w:rsid w:val="00465D03"/>
    <w:rsid w:val="004665BF"/>
    <w:rsid w:val="0048383C"/>
    <w:rsid w:val="004A69D6"/>
    <w:rsid w:val="004B4E07"/>
    <w:rsid w:val="004C3125"/>
    <w:rsid w:val="004C73FB"/>
    <w:rsid w:val="004D1010"/>
    <w:rsid w:val="004F3292"/>
    <w:rsid w:val="00517976"/>
    <w:rsid w:val="005429BB"/>
    <w:rsid w:val="00546237"/>
    <w:rsid w:val="005471F8"/>
    <w:rsid w:val="0056327C"/>
    <w:rsid w:val="00570DFF"/>
    <w:rsid w:val="00571B97"/>
    <w:rsid w:val="00585BED"/>
    <w:rsid w:val="0059666F"/>
    <w:rsid w:val="005A4257"/>
    <w:rsid w:val="005E6A45"/>
    <w:rsid w:val="00611AB9"/>
    <w:rsid w:val="00625340"/>
    <w:rsid w:val="006773C0"/>
    <w:rsid w:val="00695B2F"/>
    <w:rsid w:val="006C01EB"/>
    <w:rsid w:val="006D22C2"/>
    <w:rsid w:val="006E4346"/>
    <w:rsid w:val="006E7A8B"/>
    <w:rsid w:val="006F18A4"/>
    <w:rsid w:val="00703F02"/>
    <w:rsid w:val="00712288"/>
    <w:rsid w:val="00764FF6"/>
    <w:rsid w:val="00771D7C"/>
    <w:rsid w:val="00781495"/>
    <w:rsid w:val="0078520D"/>
    <w:rsid w:val="0078690A"/>
    <w:rsid w:val="00794169"/>
    <w:rsid w:val="007A13C3"/>
    <w:rsid w:val="007A6841"/>
    <w:rsid w:val="007B4C9B"/>
    <w:rsid w:val="007D5A9C"/>
    <w:rsid w:val="0080411B"/>
    <w:rsid w:val="00815B5D"/>
    <w:rsid w:val="00841881"/>
    <w:rsid w:val="00870BA6"/>
    <w:rsid w:val="008A491D"/>
    <w:rsid w:val="008B4955"/>
    <w:rsid w:val="008F435F"/>
    <w:rsid w:val="00900C7B"/>
    <w:rsid w:val="0092289B"/>
    <w:rsid w:val="00927436"/>
    <w:rsid w:val="00963FCC"/>
    <w:rsid w:val="00964B55"/>
    <w:rsid w:val="009749F9"/>
    <w:rsid w:val="00992F9E"/>
    <w:rsid w:val="009B6AAE"/>
    <w:rsid w:val="009C6D1F"/>
    <w:rsid w:val="009E08AF"/>
    <w:rsid w:val="009E399F"/>
    <w:rsid w:val="009F7309"/>
    <w:rsid w:val="00A11153"/>
    <w:rsid w:val="00A143D1"/>
    <w:rsid w:val="00A37917"/>
    <w:rsid w:val="00A66803"/>
    <w:rsid w:val="00A801BF"/>
    <w:rsid w:val="00A828B4"/>
    <w:rsid w:val="00A912FC"/>
    <w:rsid w:val="00A947EF"/>
    <w:rsid w:val="00AA45BE"/>
    <w:rsid w:val="00AC07BB"/>
    <w:rsid w:val="00AC37F9"/>
    <w:rsid w:val="00AC6B6E"/>
    <w:rsid w:val="00AD01CF"/>
    <w:rsid w:val="00AE30E5"/>
    <w:rsid w:val="00AE455C"/>
    <w:rsid w:val="00AE7918"/>
    <w:rsid w:val="00B02F56"/>
    <w:rsid w:val="00B14EBC"/>
    <w:rsid w:val="00B17543"/>
    <w:rsid w:val="00B43601"/>
    <w:rsid w:val="00B47F96"/>
    <w:rsid w:val="00B75E0A"/>
    <w:rsid w:val="00B87289"/>
    <w:rsid w:val="00BB5AE2"/>
    <w:rsid w:val="00BC3314"/>
    <w:rsid w:val="00BD29B2"/>
    <w:rsid w:val="00BD586B"/>
    <w:rsid w:val="00BE26FB"/>
    <w:rsid w:val="00BE6E85"/>
    <w:rsid w:val="00BF0ED2"/>
    <w:rsid w:val="00C02AF0"/>
    <w:rsid w:val="00C13F42"/>
    <w:rsid w:val="00C230CB"/>
    <w:rsid w:val="00C60B48"/>
    <w:rsid w:val="00CA1D90"/>
    <w:rsid w:val="00CD3FD7"/>
    <w:rsid w:val="00CD49FA"/>
    <w:rsid w:val="00CD77B9"/>
    <w:rsid w:val="00CD7FE5"/>
    <w:rsid w:val="00CE64A4"/>
    <w:rsid w:val="00CF05D3"/>
    <w:rsid w:val="00D02606"/>
    <w:rsid w:val="00D4328A"/>
    <w:rsid w:val="00D4396D"/>
    <w:rsid w:val="00D60041"/>
    <w:rsid w:val="00D62508"/>
    <w:rsid w:val="00D91003"/>
    <w:rsid w:val="00DC35D1"/>
    <w:rsid w:val="00DC559A"/>
    <w:rsid w:val="00DD6126"/>
    <w:rsid w:val="00DE456D"/>
    <w:rsid w:val="00E015EC"/>
    <w:rsid w:val="00E40A86"/>
    <w:rsid w:val="00E45A4F"/>
    <w:rsid w:val="00E52153"/>
    <w:rsid w:val="00E61BE7"/>
    <w:rsid w:val="00E661C7"/>
    <w:rsid w:val="00E753A3"/>
    <w:rsid w:val="00E85FDE"/>
    <w:rsid w:val="00E91DBD"/>
    <w:rsid w:val="00E940EB"/>
    <w:rsid w:val="00E94D66"/>
    <w:rsid w:val="00E96644"/>
    <w:rsid w:val="00E974FA"/>
    <w:rsid w:val="00ED4F35"/>
    <w:rsid w:val="00EE064C"/>
    <w:rsid w:val="00EF5CBC"/>
    <w:rsid w:val="00F02D41"/>
    <w:rsid w:val="00F11351"/>
    <w:rsid w:val="00F12DC5"/>
    <w:rsid w:val="00F13097"/>
    <w:rsid w:val="00F15522"/>
    <w:rsid w:val="00F237C4"/>
    <w:rsid w:val="00F313D4"/>
    <w:rsid w:val="00F3485F"/>
    <w:rsid w:val="00F358A9"/>
    <w:rsid w:val="00F36ACA"/>
    <w:rsid w:val="00F4017D"/>
    <w:rsid w:val="00F42DD4"/>
    <w:rsid w:val="00F54D5C"/>
    <w:rsid w:val="00F62245"/>
    <w:rsid w:val="00F72C33"/>
    <w:rsid w:val="00F77A03"/>
    <w:rsid w:val="00F83D56"/>
    <w:rsid w:val="00F84DA1"/>
    <w:rsid w:val="00F96926"/>
    <w:rsid w:val="00FA00F2"/>
    <w:rsid w:val="00FA79F7"/>
    <w:rsid w:val="00FC0AB1"/>
    <w:rsid w:val="00FC3ED9"/>
    <w:rsid w:val="00FF7C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23D5E5A-C5C6-41B8-AF29-6E6E0382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340"/>
  </w:style>
  <w:style w:type="paragraph" w:styleId="Ttulo1">
    <w:name w:val="heading 1"/>
    <w:basedOn w:val="Normal"/>
    <w:next w:val="Normal"/>
    <w:link w:val="Ttulo1Car"/>
    <w:uiPriority w:val="9"/>
    <w:qFormat/>
    <w:rsid w:val="00625340"/>
    <w:pPr>
      <w:keepNext/>
      <w:keepLines/>
      <w:spacing w:before="240" w:after="0"/>
      <w:outlineLvl w:val="0"/>
    </w:pPr>
    <w:rPr>
      <w:rFonts w:ascii="Palatino Linotype" w:eastAsiaTheme="majorEastAsia" w:hAnsi="Palatino Linotype"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C559A"/>
    <w:pPr>
      <w:ind w:left="720"/>
      <w:contextualSpacing/>
    </w:pPr>
  </w:style>
  <w:style w:type="paragraph" w:styleId="Textonotapie">
    <w:name w:val="footnote text"/>
    <w:basedOn w:val="Normal"/>
    <w:link w:val="TextonotapieCar"/>
    <w:uiPriority w:val="99"/>
    <w:unhideWhenUsed/>
    <w:rsid w:val="00DC559A"/>
    <w:pPr>
      <w:spacing w:after="0" w:line="240" w:lineRule="auto"/>
    </w:pPr>
    <w:rPr>
      <w:sz w:val="20"/>
      <w:szCs w:val="20"/>
    </w:rPr>
  </w:style>
  <w:style w:type="character" w:customStyle="1" w:styleId="TextonotapieCar">
    <w:name w:val="Texto nota pie Car"/>
    <w:basedOn w:val="Fuentedeprrafopredeter"/>
    <w:link w:val="Textonotapie"/>
    <w:uiPriority w:val="99"/>
    <w:rsid w:val="00DC559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C559A"/>
    <w:rPr>
      <w:vertAlign w:val="superscript"/>
    </w:rPr>
  </w:style>
  <w:style w:type="paragraph" w:styleId="Piedepgina">
    <w:name w:val="footer"/>
    <w:basedOn w:val="Normal"/>
    <w:link w:val="PiedepginaCar"/>
    <w:uiPriority w:val="99"/>
    <w:unhideWhenUsed/>
    <w:rsid w:val="00DC55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559A"/>
  </w:style>
  <w:style w:type="character" w:customStyle="1" w:styleId="PrrafodelistaCar">
    <w:name w:val="Párrafo de lista Car"/>
    <w:link w:val="Prrafodelista"/>
    <w:uiPriority w:val="34"/>
    <w:locked/>
    <w:rsid w:val="00DC559A"/>
  </w:style>
  <w:style w:type="paragraph" w:styleId="Encabezado">
    <w:name w:val="header"/>
    <w:basedOn w:val="Normal"/>
    <w:link w:val="EncabezadoCar"/>
    <w:uiPriority w:val="99"/>
    <w:unhideWhenUsed/>
    <w:rsid w:val="00DC55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559A"/>
  </w:style>
  <w:style w:type="paragraph" w:styleId="Sinespaciado">
    <w:name w:val="No Spacing"/>
    <w:uiPriority w:val="1"/>
    <w:qFormat/>
    <w:rsid w:val="00DC559A"/>
    <w:pPr>
      <w:spacing w:after="0" w:line="240" w:lineRule="auto"/>
    </w:pPr>
  </w:style>
  <w:style w:type="character" w:customStyle="1" w:styleId="Ttulo1Car">
    <w:name w:val="Título 1 Car"/>
    <w:basedOn w:val="Fuentedeprrafopredeter"/>
    <w:link w:val="Ttulo1"/>
    <w:uiPriority w:val="9"/>
    <w:rsid w:val="00625340"/>
    <w:rPr>
      <w:rFonts w:ascii="Palatino Linotype" w:eastAsiaTheme="majorEastAsia" w:hAnsi="Palatino Linotype" w:cstheme="majorBidi"/>
      <w:b/>
      <w:sz w:val="24"/>
      <w:szCs w:val="32"/>
    </w:rPr>
  </w:style>
  <w:style w:type="paragraph" w:styleId="TtulodeTDC">
    <w:name w:val="TOC Heading"/>
    <w:basedOn w:val="Ttulo1"/>
    <w:next w:val="Normal"/>
    <w:uiPriority w:val="39"/>
    <w:unhideWhenUsed/>
    <w:qFormat/>
    <w:rsid w:val="00585BED"/>
    <w:pPr>
      <w:outlineLvl w:val="9"/>
    </w:pPr>
    <w:rPr>
      <w:lang w:eastAsia="es-MX"/>
    </w:rPr>
  </w:style>
  <w:style w:type="paragraph" w:styleId="TDC1">
    <w:name w:val="toc 1"/>
    <w:basedOn w:val="Normal"/>
    <w:next w:val="Normal"/>
    <w:autoRedefine/>
    <w:uiPriority w:val="39"/>
    <w:unhideWhenUsed/>
    <w:rsid w:val="00585BED"/>
    <w:pPr>
      <w:spacing w:after="100"/>
    </w:pPr>
  </w:style>
  <w:style w:type="character" w:styleId="Hipervnculo">
    <w:name w:val="Hyperlink"/>
    <w:basedOn w:val="Fuentedeprrafopredeter"/>
    <w:uiPriority w:val="99"/>
    <w:unhideWhenUsed/>
    <w:rsid w:val="00585BED"/>
    <w:rPr>
      <w:color w:val="0563C1" w:themeColor="hyperlink"/>
      <w:u w:val="single"/>
    </w:rPr>
  </w:style>
  <w:style w:type="paragraph" w:styleId="Textodeglobo">
    <w:name w:val="Balloon Text"/>
    <w:basedOn w:val="Normal"/>
    <w:link w:val="TextodegloboCar"/>
    <w:uiPriority w:val="99"/>
    <w:semiHidden/>
    <w:unhideWhenUsed/>
    <w:rsid w:val="002055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53B"/>
    <w:rPr>
      <w:rFonts w:ascii="Segoe UI" w:hAnsi="Segoe UI" w:cs="Segoe UI"/>
      <w:sz w:val="18"/>
      <w:szCs w:val="18"/>
    </w:rPr>
  </w:style>
  <w:style w:type="paragraph" w:customStyle="1" w:styleId="Default">
    <w:name w:val="Default"/>
    <w:rsid w:val="00ED4F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03F02"/>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mex.org.mx/ipo/lgt/indice/finanzas.w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pomex.org.mx/ipo/lgt/indice/finanzas.we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40410-64A8-4C15-829C-AE4720C1D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1532</Words>
  <Characters>8430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ALICE</Company>
  <LinksUpToDate>false</LinksUpToDate>
  <CharactersWithSpaces>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dc:creator>
  <cp:keywords/>
  <dc:description/>
  <cp:lastModifiedBy>USUARIO</cp:lastModifiedBy>
  <cp:revision>3</cp:revision>
  <cp:lastPrinted>2017-11-02T00:26:00Z</cp:lastPrinted>
  <dcterms:created xsi:type="dcterms:W3CDTF">2019-01-28T20:07:00Z</dcterms:created>
  <dcterms:modified xsi:type="dcterms:W3CDTF">2019-01-28T20:30:00Z</dcterms:modified>
</cp:coreProperties>
</file>